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napToGrid w:val="0"/>
          <w:kern w:val="0"/>
          <w:sz w:val="44"/>
          <w:szCs w:val="44"/>
        </w:rPr>
      </w:pPr>
      <w:r>
        <w:rPr>
          <w:rFonts w:hint="eastAsia" w:ascii="方正小标宋简体" w:hAnsi="方正小标宋简体" w:eastAsia="方正小标宋简体" w:cs="方正小标宋简体"/>
          <w:b w:val="0"/>
          <w:bCs w:val="0"/>
          <w:snapToGrid w:val="0"/>
          <w:kern w:val="0"/>
          <w:sz w:val="44"/>
          <w:szCs w:val="44"/>
        </w:rPr>
        <w:t>洛阳市202</w:t>
      </w:r>
      <w:r>
        <w:rPr>
          <w:rFonts w:hint="eastAsia" w:ascii="方正小标宋简体" w:hAnsi="方正小标宋简体" w:eastAsia="方正小标宋简体" w:cs="方正小标宋简体"/>
          <w:b w:val="0"/>
          <w:bCs w:val="0"/>
          <w:snapToGrid w:val="0"/>
          <w:kern w:val="0"/>
          <w:sz w:val="44"/>
          <w:szCs w:val="44"/>
          <w:lang w:val="en-US" w:eastAsia="zh-CN"/>
        </w:rPr>
        <w:t>3</w:t>
      </w:r>
      <w:r>
        <w:rPr>
          <w:rFonts w:hint="eastAsia" w:ascii="方正小标宋简体" w:hAnsi="方正小标宋简体" w:eastAsia="方正小标宋简体" w:cs="方正小标宋简体"/>
          <w:b w:val="0"/>
          <w:bCs w:val="0"/>
          <w:snapToGrid w:val="0"/>
          <w:kern w:val="0"/>
          <w:sz w:val="44"/>
          <w:szCs w:val="44"/>
        </w:rPr>
        <w:t>年基层农技推广体系</w:t>
      </w:r>
    </w:p>
    <w:p>
      <w:pPr>
        <w:keepNext w:val="0"/>
        <w:keepLines w:val="0"/>
        <w:pageBreakBefore w:val="0"/>
        <w:widowControl w:val="0"/>
        <w:kinsoku/>
        <w:wordWrap/>
        <w:overflowPunct w:val="0"/>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napToGrid w:val="0"/>
          <w:kern w:val="0"/>
          <w:sz w:val="44"/>
          <w:szCs w:val="44"/>
        </w:rPr>
      </w:pPr>
      <w:r>
        <w:rPr>
          <w:rFonts w:hint="eastAsia" w:ascii="方正小标宋简体" w:hAnsi="方正小标宋简体" w:eastAsia="方正小标宋简体" w:cs="方正小标宋简体"/>
          <w:b w:val="0"/>
          <w:bCs w:val="0"/>
          <w:snapToGrid w:val="0"/>
          <w:kern w:val="0"/>
          <w:sz w:val="44"/>
          <w:szCs w:val="44"/>
        </w:rPr>
        <w:t>改革与建设项目实施方案</w:t>
      </w:r>
    </w:p>
    <w:p>
      <w:pPr>
        <w:keepNext w:val="0"/>
        <w:keepLines w:val="0"/>
        <w:pageBreakBefore w:val="0"/>
        <w:widowControl w:val="0"/>
        <w:kinsoku/>
        <w:wordWrap/>
        <w:topLinePunct w:val="0"/>
        <w:autoSpaceDE/>
        <w:autoSpaceDN/>
        <w:bidi w:val="0"/>
        <w:adjustRightInd/>
        <w:snapToGrid/>
        <w:spacing w:line="640" w:lineRule="exact"/>
        <w:ind w:firstLine="645"/>
        <w:textAlignment w:val="auto"/>
        <w:rPr>
          <w:rFonts w:hint="eastAsia" w:ascii="宋体" w:hAnsi="宋体" w:eastAsia="宋体" w:cs="宋体"/>
          <w:b/>
          <w:bCs/>
          <w:snapToGrid w:val="0"/>
          <w:kern w:val="0"/>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CESI仿宋-GB2312" w:hAnsi="CESI仿宋-GB2312" w:eastAsia="CESI仿宋-GB2312" w:cs="CESI仿宋-GB2312"/>
          <w:sz w:val="32"/>
          <w:szCs w:val="32"/>
          <w:lang w:eastAsia="zh-CN"/>
        </w:rPr>
        <w:t>根据《</w:t>
      </w:r>
      <w:r>
        <w:rPr>
          <w:rFonts w:hint="eastAsia" w:ascii="CESI仿宋-GB2312" w:hAnsi="CESI仿宋-GB2312" w:eastAsia="CESI仿宋-GB2312" w:cs="CESI仿宋-GB2312"/>
          <w:sz w:val="32"/>
          <w:szCs w:val="32"/>
          <w:lang w:val="en" w:eastAsia="zh-CN"/>
        </w:rPr>
        <w:t>河南省农业农村厅关于印发〈河南省2023年基层农技推广体系改革与建设项目实施方案〉的通知》（豫农文</w:t>
      </w:r>
      <w:r>
        <w:rPr>
          <w:rFonts w:hint="eastAsia" w:ascii="CESI仿宋-GB2312" w:hAnsi="CESI仿宋-GB2312" w:eastAsia="CESI仿宋-GB2312" w:cs="CESI仿宋-GB2312"/>
          <w:sz w:val="32"/>
          <w:szCs w:val="32"/>
        </w:rPr>
        <w:t>〔2023〕</w:t>
      </w:r>
      <w:r>
        <w:rPr>
          <w:rFonts w:hint="eastAsia" w:ascii="CESI仿宋-GB2312" w:hAnsi="CESI仿宋-GB2312" w:eastAsia="CESI仿宋-GB2312" w:cs="CESI仿宋-GB2312"/>
          <w:sz w:val="32"/>
          <w:szCs w:val="32"/>
          <w:lang w:val="en-US" w:eastAsia="zh-CN"/>
        </w:rPr>
        <w:t>314</w:t>
      </w:r>
      <w:r>
        <w:rPr>
          <w:rFonts w:hint="eastAsia" w:ascii="CESI仿宋-GB2312" w:hAnsi="CESI仿宋-GB2312" w:eastAsia="CESI仿宋-GB2312" w:cs="CESI仿宋-GB2312"/>
          <w:sz w:val="32"/>
          <w:szCs w:val="32"/>
        </w:rPr>
        <w:t>号</w:t>
      </w:r>
      <w:r>
        <w:rPr>
          <w:rFonts w:hint="eastAsia" w:ascii="CESI仿宋-GB2312" w:hAnsi="CESI仿宋-GB2312" w:eastAsia="CESI仿宋-GB2312" w:cs="CESI仿宋-GB2312"/>
          <w:sz w:val="32"/>
          <w:szCs w:val="32"/>
          <w:lang w:val="en" w:eastAsia="zh-CN"/>
        </w:rPr>
        <w:t>）文件精神，</w:t>
      </w:r>
      <w:r>
        <w:rPr>
          <w:rFonts w:hint="eastAsia" w:ascii="CESI仿宋-GB2312" w:hAnsi="CESI仿宋-GB2312" w:eastAsia="CESI仿宋-GB2312" w:cs="CESI仿宋-GB2312"/>
          <w:sz w:val="32"/>
          <w:szCs w:val="32"/>
        </w:rPr>
        <w:t>2023年中央财政通过农业经营主体能力提升资金对基层农技推广体系改革与建设给予支持。为</w:t>
      </w:r>
      <w:r>
        <w:rPr>
          <w:rFonts w:hint="eastAsia" w:ascii="CESI仿宋-GB2312" w:hAnsi="CESI仿宋-GB2312" w:eastAsia="CESI仿宋-GB2312" w:cs="CESI仿宋-GB2312"/>
          <w:sz w:val="32"/>
          <w:szCs w:val="32"/>
          <w:lang w:eastAsia="zh-CN"/>
        </w:rPr>
        <w:t>指导各地落实好人员培训、集成示范、指导服务等项目任务，充分发挥项目强队伍、推技术、带小农的基础支撑作用，稳定基层农技推广队伍，持续提升农技推广服务能力水平，满足小农户与新型经营主体技术需求，全力保障粮食和重要农产品稳定安全供给，现</w:t>
      </w:r>
      <w:r>
        <w:rPr>
          <w:rFonts w:hint="eastAsia" w:ascii="CESI仿宋-GB2312" w:hAnsi="CESI仿宋-GB2312" w:eastAsia="CESI仿宋-GB2312" w:cs="CESI仿宋-GB2312"/>
          <w:sz w:val="32"/>
          <w:szCs w:val="32"/>
        </w:rPr>
        <w:t>结合我</w:t>
      </w:r>
      <w:r>
        <w:rPr>
          <w:rFonts w:hint="eastAsia" w:ascii="CESI仿宋-GB2312" w:hAnsi="CESI仿宋-GB2312" w:eastAsia="CESI仿宋-GB2312" w:cs="CESI仿宋-GB2312"/>
          <w:sz w:val="32"/>
          <w:szCs w:val="32"/>
          <w:lang w:eastAsia="zh-CN"/>
        </w:rPr>
        <w:t>市工作</w:t>
      </w:r>
      <w:r>
        <w:rPr>
          <w:rFonts w:hint="eastAsia" w:ascii="CESI仿宋-GB2312" w:hAnsi="CESI仿宋-GB2312" w:eastAsia="CESI仿宋-GB2312" w:cs="CESI仿宋-GB2312"/>
          <w:sz w:val="32"/>
          <w:szCs w:val="32"/>
        </w:rPr>
        <w:t>实际，制定本方案。</w:t>
      </w:r>
    </w:p>
    <w:p>
      <w:pPr>
        <w:keepNext w:val="0"/>
        <w:keepLines w:val="0"/>
        <w:pageBreakBefore w:val="0"/>
        <w:widowControl w:val="0"/>
        <w:kinsoku/>
        <w:wordWrap/>
        <w:topLinePunct w:val="0"/>
        <w:autoSpaceDE/>
        <w:autoSpaceDN/>
        <w:bidi w:val="0"/>
        <w:adjustRightInd/>
        <w:snapToGrid/>
        <w:spacing w:line="640" w:lineRule="exact"/>
        <w:ind w:firstLine="645"/>
        <w:textAlignment w:val="auto"/>
        <w:rPr>
          <w:rFonts w:hint="eastAsia" w:ascii="黑体" w:hAnsi="黑体" w:eastAsia="黑体" w:cs="黑体"/>
          <w:sz w:val="32"/>
          <w:szCs w:val="32"/>
        </w:rPr>
      </w:pPr>
      <w:r>
        <w:rPr>
          <w:rFonts w:hint="eastAsia" w:ascii="黑体" w:hAnsi="黑体" w:eastAsia="黑体" w:cs="黑体"/>
          <w:sz w:val="32"/>
          <w:szCs w:val="32"/>
        </w:rPr>
        <w:t>一、总体思路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全面学习贯彻党的二十大精神，深入贯彻落实习近平总书记在中央农村工作会议上指出的“基层农技推广体系要稳定队伍、提升素质、回归主业，强化公益性服务职能”等重要讲话精神，围绕保障粮食和重要农产品稳定安全供给，组织引导基层农技推广体系履行好促转化、推技术、做示范等公益性职能，引导支持农业科技社会化服务组织规范发展，创新技术推广服务方式方法，集成组装先进技术模式，推广高产优质品种和先进适用技术，</w:t>
      </w:r>
      <w:r>
        <w:rPr>
          <w:rFonts w:hint="eastAsia" w:ascii="CESI仿宋-GB2312" w:hAnsi="CESI仿宋-GB2312" w:eastAsia="CESI仿宋-GB2312" w:cs="CESI仿宋-GB2312"/>
          <w:sz w:val="32"/>
          <w:szCs w:val="32"/>
          <w:lang w:eastAsia="zh-CN"/>
        </w:rPr>
        <w:t>由点及线到面推广高产优质品种和先进适用技术模式，</w:t>
      </w:r>
      <w:r>
        <w:rPr>
          <w:rFonts w:hint="eastAsia" w:ascii="CESI仿宋-GB2312" w:hAnsi="CESI仿宋-GB2312" w:eastAsia="CESI仿宋-GB2312" w:cs="CESI仿宋-GB2312"/>
          <w:sz w:val="32"/>
          <w:szCs w:val="32"/>
        </w:rPr>
        <w:t>提升农技推广服务效能，为全面推进乡村振兴、加快建设农业强省提供坚强科技支撑和人才保障。</w:t>
      </w:r>
    </w:p>
    <w:p>
      <w:pPr>
        <w:keepNext w:val="0"/>
        <w:keepLines w:val="0"/>
        <w:pageBreakBefore w:val="0"/>
        <w:widowControl w:val="0"/>
        <w:kinsoku/>
        <w:wordWrap/>
        <w:topLinePunct w:val="0"/>
        <w:autoSpaceDE/>
        <w:autoSpaceDN/>
        <w:bidi w:val="0"/>
        <w:adjustRightInd/>
        <w:snapToGrid/>
        <w:spacing w:line="640" w:lineRule="exact"/>
        <w:ind w:firstLine="645"/>
        <w:textAlignment w:val="auto"/>
        <w:rPr>
          <w:rFonts w:hint="eastAsia" w:ascii="黑体" w:hAnsi="黑体" w:eastAsia="黑体" w:cs="黑体"/>
          <w:sz w:val="32"/>
          <w:szCs w:val="32"/>
        </w:rPr>
      </w:pPr>
      <w:r>
        <w:rPr>
          <w:rFonts w:hint="eastAsia" w:ascii="黑体" w:hAnsi="黑体" w:eastAsia="黑体" w:cs="黑体"/>
          <w:sz w:val="32"/>
          <w:szCs w:val="32"/>
        </w:rPr>
        <w:t>二、实施原则</w:t>
      </w:r>
    </w:p>
    <w:p>
      <w:pPr>
        <w:keepNext w:val="0"/>
        <w:keepLines w:val="0"/>
        <w:pageBreakBefore w:val="0"/>
        <w:widowControl w:val="0"/>
        <w:kinsoku/>
        <w:wordWrap/>
        <w:topLinePunct w:val="0"/>
        <w:autoSpaceDE/>
        <w:autoSpaceDN/>
        <w:bidi w:val="0"/>
        <w:adjustRightInd/>
        <w:snapToGrid/>
        <w:spacing w:line="640" w:lineRule="exact"/>
        <w:ind w:firstLine="630"/>
        <w:textAlignment w:val="auto"/>
        <w:rPr>
          <w:rFonts w:hint="eastAsia" w:ascii="CESI仿宋-GB2312" w:hAnsi="CESI仿宋-GB2312" w:eastAsia="CESI仿宋-GB2312" w:cs="CESI仿宋-GB2312"/>
          <w:sz w:val="32"/>
          <w:szCs w:val="32"/>
        </w:rPr>
      </w:pPr>
      <w:r>
        <w:rPr>
          <w:rFonts w:hint="eastAsia" w:ascii="楷体_GB2312" w:hAnsi="楷体_GB2312" w:eastAsia="楷体_GB2312" w:cs="楷体_GB2312"/>
          <w:sz w:val="32"/>
          <w:szCs w:val="32"/>
        </w:rPr>
        <w:t>（一）坚持</w:t>
      </w:r>
      <w:r>
        <w:rPr>
          <w:rFonts w:hint="eastAsia" w:ascii="楷体_GB2312" w:hAnsi="楷体_GB2312" w:eastAsia="楷体_GB2312" w:cs="楷体_GB2312"/>
          <w:sz w:val="32"/>
          <w:szCs w:val="32"/>
          <w:lang w:eastAsia="zh-CN"/>
        </w:rPr>
        <w:t>聚焦重点</w:t>
      </w:r>
      <w:r>
        <w:rPr>
          <w:rFonts w:hint="eastAsia" w:ascii="楷体_GB2312" w:hAnsi="楷体_GB2312" w:eastAsia="楷体_GB2312" w:cs="楷体_GB2312"/>
          <w:sz w:val="32"/>
          <w:szCs w:val="32"/>
        </w:rPr>
        <w:t>，服务大局。</w:t>
      </w:r>
      <w:r>
        <w:rPr>
          <w:rFonts w:hint="eastAsia" w:ascii="CESI仿宋-GB2312" w:hAnsi="CESI仿宋-GB2312" w:eastAsia="CESI仿宋-GB2312" w:cs="CESI仿宋-GB2312"/>
          <w:sz w:val="32"/>
          <w:szCs w:val="32"/>
          <w:lang w:eastAsia="zh-CN"/>
        </w:rPr>
        <w:t>着力推进农业高质量发展，</w:t>
      </w:r>
      <w:r>
        <w:rPr>
          <w:rFonts w:hint="eastAsia" w:ascii="CESI仿宋-GB2312" w:hAnsi="CESI仿宋-GB2312" w:eastAsia="CESI仿宋-GB2312" w:cs="CESI仿宋-GB2312"/>
          <w:sz w:val="32"/>
          <w:szCs w:val="32"/>
        </w:rPr>
        <w:t>聚焦大豆玉米等主要粮油作物，</w:t>
      </w:r>
      <w:r>
        <w:rPr>
          <w:rFonts w:hint="eastAsia" w:ascii="CESI仿宋-GB2312" w:hAnsi="CESI仿宋-GB2312" w:eastAsia="CESI仿宋-GB2312" w:cs="CESI仿宋-GB2312"/>
          <w:sz w:val="32"/>
          <w:szCs w:val="32"/>
          <w:lang w:eastAsia="zh-CN"/>
        </w:rPr>
        <w:t>以县域为单元，</w:t>
      </w:r>
      <w:r>
        <w:rPr>
          <w:rFonts w:hint="eastAsia" w:ascii="CESI仿宋-GB2312" w:hAnsi="CESI仿宋-GB2312" w:eastAsia="CESI仿宋-GB2312" w:cs="CESI仿宋-GB2312"/>
          <w:sz w:val="32"/>
          <w:szCs w:val="32"/>
        </w:rPr>
        <w:t>打造技术集成创新平台，筛选推广适宜品种，形成综合技术解决方案，落实大豆玉米等推技术提单产技术要求。重点支持实施意愿强、完成效果好的县（区），向大豆玉米单产提升整建制推进县、全国农业科技现代化先行县和全省科技引领优势产业发展试点县、农业农村部定点帮扶县和生物育种产业化试点倾斜。</w:t>
      </w:r>
    </w:p>
    <w:p>
      <w:pPr>
        <w:keepNext w:val="0"/>
        <w:keepLines w:val="0"/>
        <w:pageBreakBefore w:val="0"/>
        <w:widowControl w:val="0"/>
        <w:kinsoku/>
        <w:wordWrap/>
        <w:topLinePunct w:val="0"/>
        <w:autoSpaceDE/>
        <w:autoSpaceDN/>
        <w:bidi w:val="0"/>
        <w:adjustRightInd/>
        <w:snapToGrid/>
        <w:spacing w:line="640" w:lineRule="exact"/>
        <w:ind w:firstLine="630"/>
        <w:textAlignment w:val="auto"/>
        <w:rPr>
          <w:rFonts w:hint="eastAsia" w:ascii="CESI仿宋-GB2312" w:hAnsi="CESI仿宋-GB2312" w:eastAsia="CESI仿宋-GB2312" w:cs="CESI仿宋-GB2312"/>
          <w:sz w:val="32"/>
          <w:szCs w:val="32"/>
        </w:rPr>
      </w:pPr>
      <w:r>
        <w:rPr>
          <w:rFonts w:hint="eastAsia" w:ascii="楷体_GB2312" w:hAnsi="楷体_GB2312" w:eastAsia="楷体_GB2312" w:cs="楷体_GB2312"/>
          <w:sz w:val="32"/>
          <w:szCs w:val="32"/>
        </w:rPr>
        <w:t>（二）坚持目标导向，分块实施。</w:t>
      </w:r>
      <w:r>
        <w:rPr>
          <w:rFonts w:hint="eastAsia" w:ascii="CESI仿宋-GB2312" w:hAnsi="CESI仿宋-GB2312" w:eastAsia="CESI仿宋-GB2312" w:cs="CESI仿宋-GB2312"/>
          <w:b w:val="0"/>
          <w:bCs w:val="0"/>
          <w:color w:val="auto"/>
          <w:sz w:val="32"/>
          <w:szCs w:val="32"/>
          <w:lang w:val="en-US" w:eastAsia="zh-CN"/>
        </w:rPr>
        <w:t>以强化公益性服务功能为导向</w:t>
      </w:r>
      <w:r>
        <w:rPr>
          <w:rFonts w:hint="eastAsia" w:ascii="CESI仿宋-GB2312" w:hAnsi="CESI仿宋-GB2312" w:eastAsia="CESI仿宋-GB2312" w:cs="CESI仿宋-GB2312"/>
          <w:b w:val="0"/>
          <w:bCs w:val="0"/>
          <w:sz w:val="32"/>
          <w:szCs w:val="32"/>
        </w:rPr>
        <w:t>，建设多层次农业科技示范载体，完善技术推广服务配套设施设备，加大力度培育基层农技推广骨干人才，促进基层农技人员更好履责。</w:t>
      </w:r>
      <w:r>
        <w:rPr>
          <w:rFonts w:hint="eastAsia" w:ascii="CESI仿宋-GB2312" w:hAnsi="CESI仿宋-GB2312" w:eastAsia="CESI仿宋-GB2312" w:cs="CESI仿宋-GB2312"/>
          <w:b w:val="0"/>
          <w:bCs w:val="0"/>
          <w:color w:val="auto"/>
          <w:sz w:val="32"/>
          <w:szCs w:val="32"/>
          <w:lang w:val="en-US" w:eastAsia="zh-CN"/>
        </w:rPr>
        <w:t>以市场需求为导向</w:t>
      </w:r>
      <w:r>
        <w:rPr>
          <w:rFonts w:hint="eastAsia" w:ascii="CESI仿宋-GB2312" w:hAnsi="CESI仿宋-GB2312" w:eastAsia="CESI仿宋-GB2312" w:cs="CESI仿宋-GB2312"/>
          <w:b w:val="0"/>
          <w:bCs w:val="0"/>
          <w:sz w:val="32"/>
          <w:szCs w:val="32"/>
        </w:rPr>
        <w:t>，发展壮大农业科技社会化服务力量，鼓励拓展服务领域，提供个性化、全流程、高质量农业科技服务。以助力产业发展为导向，</w:t>
      </w:r>
      <w:r>
        <w:rPr>
          <w:rFonts w:hint="eastAsia" w:ascii="CESI仿宋-GB2312" w:hAnsi="CESI仿宋-GB2312" w:eastAsia="CESI仿宋-GB2312" w:cs="CESI仿宋-GB2312"/>
          <w:sz w:val="32"/>
          <w:szCs w:val="32"/>
        </w:rPr>
        <w:t>在有需要的地方继续实施农技推广服务特聘计划，招募一批关键时刻顶得上、技术服务有特长的特聘农技员（含特聘防疫员</w:t>
      </w:r>
      <w:r>
        <w:rPr>
          <w:rFonts w:hint="eastAsia" w:ascii="CESI仿宋-GB2312" w:hAnsi="CESI仿宋-GB2312" w:eastAsia="CESI仿宋-GB2312" w:cs="CESI仿宋-GB2312"/>
          <w:sz w:val="32"/>
          <w:szCs w:val="32"/>
          <w:lang w:eastAsia="zh-CN"/>
        </w:rPr>
        <w:t>、家畜繁殖员，下同</w:t>
      </w:r>
      <w:r>
        <w:rPr>
          <w:rFonts w:hint="eastAsia" w:ascii="CESI仿宋-GB2312" w:hAnsi="CESI仿宋-GB2312" w:eastAsia="CESI仿宋-GB2312" w:cs="CESI仿宋-GB2312"/>
          <w:sz w:val="32"/>
          <w:szCs w:val="32"/>
        </w:rPr>
        <w:t>）。</w:t>
      </w:r>
    </w:p>
    <w:p>
      <w:pPr>
        <w:keepNext w:val="0"/>
        <w:keepLines w:val="0"/>
        <w:pageBreakBefore w:val="0"/>
        <w:widowControl w:val="0"/>
        <w:kinsoku/>
        <w:wordWrap/>
        <w:topLinePunct w:val="0"/>
        <w:autoSpaceDE/>
        <w:autoSpaceDN/>
        <w:bidi w:val="0"/>
        <w:adjustRightInd/>
        <w:snapToGrid/>
        <w:spacing w:line="640" w:lineRule="exact"/>
        <w:ind w:firstLine="63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（三）坚持过程管理，注重实绩。</w:t>
      </w:r>
      <w:r>
        <w:rPr>
          <w:rFonts w:hint="eastAsia" w:ascii="CESI仿宋-GB2312" w:hAnsi="CESI仿宋-GB2312" w:eastAsia="CESI仿宋-GB2312" w:cs="CESI仿宋-GB2312"/>
          <w:sz w:val="32"/>
          <w:szCs w:val="32"/>
        </w:rPr>
        <w:t>以</w:t>
      </w:r>
      <w:r>
        <w:rPr>
          <w:rFonts w:hint="eastAsia" w:ascii="CESI仿宋-GB2312" w:hAnsi="CESI仿宋-GB2312" w:eastAsia="CESI仿宋-GB2312" w:cs="CESI仿宋-GB2312"/>
          <w:sz w:val="32"/>
          <w:szCs w:val="32"/>
          <w:lang w:eastAsia="zh-CN"/>
        </w:rPr>
        <w:t>创新农技推广服务体制机制为保障，以</w:t>
      </w:r>
      <w:r>
        <w:rPr>
          <w:rFonts w:hint="eastAsia" w:ascii="CESI仿宋-GB2312" w:hAnsi="CESI仿宋-GB2312" w:eastAsia="CESI仿宋-GB2312" w:cs="CESI仿宋-GB2312"/>
          <w:sz w:val="32"/>
          <w:szCs w:val="32"/>
        </w:rPr>
        <w:t>农技推广服务实效、服务对象满意度等为核心内容，</w:t>
      </w:r>
      <w:r>
        <w:rPr>
          <w:rFonts w:hint="eastAsia" w:ascii="CESI仿宋-GB2312" w:hAnsi="CESI仿宋-GB2312" w:eastAsia="CESI仿宋-GB2312" w:cs="CESI仿宋-GB2312"/>
          <w:color w:val="auto"/>
          <w:sz w:val="32"/>
          <w:szCs w:val="32"/>
          <w:lang w:eastAsia="zh-CN"/>
        </w:rPr>
        <w:t>注重项目任务组织落实质量与助力产业发展成效，</w:t>
      </w:r>
      <w:r>
        <w:rPr>
          <w:rFonts w:hint="eastAsia" w:ascii="CESI仿宋-GB2312" w:hAnsi="CESI仿宋-GB2312" w:eastAsia="CESI仿宋-GB2312" w:cs="CESI仿宋-GB2312"/>
          <w:sz w:val="32"/>
          <w:szCs w:val="32"/>
        </w:rPr>
        <w:t>通过集中交流、在线点评、实地核查、交叉评估等方式开展全过程全覆盖绩效评价，确保评价过程、评价结果更具客观公正性、更体现财政绩效目标。</w:t>
      </w:r>
    </w:p>
    <w:p>
      <w:pPr>
        <w:keepNext w:val="0"/>
        <w:keepLines w:val="0"/>
        <w:pageBreakBefore w:val="0"/>
        <w:widowControl w:val="0"/>
        <w:kinsoku/>
        <w:wordWrap/>
        <w:topLinePunct w:val="0"/>
        <w:autoSpaceDE/>
        <w:autoSpaceDN/>
        <w:bidi w:val="0"/>
        <w:adjustRightInd/>
        <w:snapToGrid/>
        <w:spacing w:line="640" w:lineRule="exact"/>
        <w:ind w:firstLine="645"/>
        <w:textAlignment w:val="auto"/>
        <w:rPr>
          <w:rFonts w:hint="eastAsia" w:ascii="黑体" w:hAnsi="黑体" w:eastAsia="黑体" w:cs="黑体"/>
          <w:sz w:val="32"/>
          <w:szCs w:val="32"/>
        </w:rPr>
      </w:pPr>
      <w:r>
        <w:rPr>
          <w:rFonts w:hint="eastAsia" w:ascii="黑体" w:hAnsi="黑体" w:eastAsia="黑体" w:cs="黑体"/>
          <w:sz w:val="32"/>
          <w:szCs w:val="32"/>
        </w:rPr>
        <w:t>三、年度目标</w:t>
      </w:r>
    </w:p>
    <w:p>
      <w:pPr>
        <w:keepNext w:val="0"/>
        <w:keepLines w:val="0"/>
        <w:pageBreakBefore w:val="0"/>
        <w:widowControl w:val="0"/>
        <w:kinsoku/>
        <w:wordWrap/>
        <w:topLinePunct w:val="0"/>
        <w:autoSpaceDE/>
        <w:autoSpaceDN/>
        <w:bidi w:val="0"/>
        <w:adjustRightInd/>
        <w:snapToGrid/>
        <w:spacing w:line="640" w:lineRule="exact"/>
        <w:ind w:firstLine="630"/>
        <w:textAlignment w:val="auto"/>
        <w:rPr>
          <w:rFonts w:hint="eastAsia" w:ascii="CESI仿宋-GB2312" w:hAnsi="CESI仿宋-GB2312" w:eastAsia="CESI仿宋-GB2312" w:cs="CESI仿宋-GB2312"/>
          <w:color w:val="000000" w:themeColor="text1"/>
          <w:sz w:val="32"/>
          <w:szCs w:val="32"/>
          <w14:textFill>
            <w14:solidFill>
              <w14:schemeClr w14:val="tx1"/>
            </w14:solidFill>
          </w14:textFill>
        </w:rPr>
      </w:pPr>
      <w:r>
        <w:rPr>
          <w:rFonts w:hint="eastAsia" w:ascii="CESI仿宋-GB2312" w:hAnsi="CESI仿宋-GB2312" w:eastAsia="CESI仿宋-GB2312" w:cs="CESI仿宋-GB2312"/>
          <w:sz w:val="32"/>
          <w:szCs w:val="32"/>
          <w:lang w:eastAsia="zh-CN"/>
        </w:rPr>
        <w:t>全市</w:t>
      </w:r>
      <w:r>
        <w:rPr>
          <w:rFonts w:hint="eastAsia" w:ascii="CESI仿宋-GB2312" w:hAnsi="CESI仿宋-GB2312" w:eastAsia="CESI仿宋-GB2312" w:cs="CESI仿宋-GB2312"/>
          <w:sz w:val="32"/>
          <w:szCs w:val="32"/>
        </w:rPr>
        <w:t>农技推广体系</w:t>
      </w:r>
      <w:r>
        <w:rPr>
          <w:rFonts w:hint="eastAsia" w:ascii="CESI仿宋-GB2312" w:hAnsi="CESI仿宋-GB2312" w:eastAsia="CESI仿宋-GB2312" w:cs="CESI仿宋-GB2312"/>
          <w:sz w:val="32"/>
          <w:szCs w:val="32"/>
          <w:lang w:eastAsia="zh-CN"/>
        </w:rPr>
        <w:t>不断健全，</w:t>
      </w:r>
      <w:r>
        <w:rPr>
          <w:rFonts w:hint="eastAsia" w:ascii="CESI仿宋-GB2312" w:hAnsi="CESI仿宋-GB2312" w:eastAsia="CESI仿宋-GB2312" w:cs="CESI仿宋-GB2312"/>
          <w:sz w:val="32"/>
          <w:szCs w:val="32"/>
        </w:rPr>
        <w:t>服务能力有较大提升，支撑服务三农中心工作作用</w:t>
      </w:r>
      <w:r>
        <w:rPr>
          <w:rFonts w:hint="eastAsia" w:ascii="CESI仿宋-GB2312" w:hAnsi="CESI仿宋-GB2312" w:eastAsia="CESI仿宋-GB2312" w:cs="CESI仿宋-GB2312"/>
          <w:sz w:val="32"/>
          <w:szCs w:val="32"/>
          <w:lang w:eastAsia="zh-CN"/>
        </w:rPr>
        <w:t>持续</w:t>
      </w:r>
      <w:r>
        <w:rPr>
          <w:rFonts w:hint="eastAsia" w:ascii="CESI仿宋-GB2312" w:hAnsi="CESI仿宋-GB2312" w:eastAsia="CESI仿宋-GB2312" w:cs="CESI仿宋-GB2312"/>
          <w:sz w:val="32"/>
          <w:szCs w:val="32"/>
        </w:rPr>
        <w:t>增强，在粮油主要作物大面积单产提升、生猪稳产保供、农药残留治理、农业防灾减灾和生物育种产业化试点等方面成效突出。</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建设</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3</w:t>
      </w:r>
      <w:r>
        <w:rPr>
          <w:rFonts w:hint="eastAsia" w:ascii="CESI仿宋-GB2312" w:hAnsi="CESI仿宋-GB2312" w:eastAsia="CESI仿宋-GB2312" w:cs="CESI仿宋-GB2312"/>
          <w:color w:val="000000" w:themeColor="text1"/>
          <w:sz w:val="32"/>
          <w:szCs w:val="32"/>
          <w:lang w:val="en" w:eastAsia="zh-CN"/>
          <w14:textFill>
            <w14:solidFill>
              <w14:schemeClr w14:val="tx1"/>
            </w14:solidFill>
          </w14:textFill>
        </w:rPr>
        <w:t>1</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个农业科技示范展示基地，</w:t>
      </w:r>
      <w:r>
        <w:rPr>
          <w:rFonts w:hint="eastAsia" w:ascii="CESI仿宋-GB2312" w:hAnsi="CESI仿宋-GB2312" w:eastAsia="CESI仿宋-GB2312" w:cs="CESI仿宋-GB2312"/>
          <w:color w:val="000000" w:themeColor="text1"/>
          <w:sz w:val="32"/>
          <w:szCs w:val="32"/>
          <w14:textFill>
            <w14:solidFill>
              <w14:schemeClr w14:val="tx1"/>
            </w14:solidFill>
          </w14:textFill>
        </w:rPr>
        <w:t>推介一批</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重要粮油作物主导</w:t>
      </w:r>
      <w:r>
        <w:rPr>
          <w:rFonts w:hint="eastAsia" w:ascii="CESI仿宋-GB2312" w:hAnsi="CESI仿宋-GB2312" w:eastAsia="CESI仿宋-GB2312" w:cs="CESI仿宋-GB2312"/>
          <w:color w:val="000000" w:themeColor="text1"/>
          <w:sz w:val="32"/>
          <w:szCs w:val="32"/>
          <w14:textFill>
            <w14:solidFill>
              <w14:schemeClr w14:val="tx1"/>
            </w14:solidFill>
          </w14:textFill>
        </w:rPr>
        <w:t>品种，推广</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100</w:t>
      </w:r>
      <w:r>
        <w:rPr>
          <w:rFonts w:hint="eastAsia" w:ascii="CESI仿宋-GB2312" w:hAnsi="CESI仿宋-GB2312" w:eastAsia="CESI仿宋-GB2312" w:cs="CESI仿宋-GB2312"/>
          <w:color w:val="000000" w:themeColor="text1"/>
          <w:sz w:val="32"/>
          <w:szCs w:val="32"/>
          <w14:textFill>
            <w14:solidFill>
              <w14:schemeClr w14:val="tx1"/>
            </w14:solidFill>
          </w14:textFill>
        </w:rPr>
        <w:t>项（次）以上的先进适用主推技术，在农业科技示范展示基地开展50场（次）以上的技术示范展示活动，农业主推技术到位率</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达到</w:t>
      </w:r>
      <w:r>
        <w:rPr>
          <w:rFonts w:hint="eastAsia" w:ascii="CESI仿宋-GB2312" w:hAnsi="CESI仿宋-GB2312" w:eastAsia="CESI仿宋-GB2312" w:cs="CESI仿宋-GB2312"/>
          <w:color w:val="000000" w:themeColor="text1"/>
          <w:sz w:val="32"/>
          <w:szCs w:val="32"/>
          <w14:textFill>
            <w14:solidFill>
              <w14:schemeClr w14:val="tx1"/>
            </w14:solidFill>
          </w14:textFill>
        </w:rPr>
        <w:t>95%以上。对全省1/3以上在编在岗基层农技人员开展先进成果普及培训，培育</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50</w:t>
      </w:r>
      <w:r>
        <w:rPr>
          <w:rFonts w:hint="eastAsia" w:ascii="CESI仿宋-GB2312" w:hAnsi="CESI仿宋-GB2312" w:eastAsia="CESI仿宋-GB2312" w:cs="CESI仿宋-GB2312"/>
          <w:color w:val="000000" w:themeColor="text1"/>
          <w:sz w:val="32"/>
          <w:szCs w:val="32"/>
          <w14:textFill>
            <w14:solidFill>
              <w14:schemeClr w14:val="tx1"/>
            </w14:solidFill>
          </w14:textFill>
        </w:rPr>
        <w:t>名以上业务精通、服务优良的县域农技推广首席专家（农技推广骨干人才）。招募</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30</w:t>
      </w:r>
      <w:r>
        <w:rPr>
          <w:rFonts w:hint="eastAsia" w:ascii="CESI仿宋-GB2312" w:hAnsi="CESI仿宋-GB2312" w:eastAsia="CESI仿宋-GB2312" w:cs="CESI仿宋-GB2312"/>
          <w:color w:val="000000" w:themeColor="text1"/>
          <w:sz w:val="32"/>
          <w:szCs w:val="32"/>
          <w14:textFill>
            <w14:solidFill>
              <w14:schemeClr w14:val="tx1"/>
            </w14:solidFill>
          </w14:textFill>
        </w:rPr>
        <w:t>名以上特聘农技员，重点开展技术、设施、营销等技术服务，发挥科技帮扶作用。培育</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600</w:t>
      </w:r>
      <w:r>
        <w:rPr>
          <w:rFonts w:hint="eastAsia" w:ascii="CESI仿宋-GB2312" w:hAnsi="CESI仿宋-GB2312" w:eastAsia="CESI仿宋-GB2312" w:cs="CESI仿宋-GB2312"/>
          <w:color w:val="000000" w:themeColor="text1"/>
          <w:sz w:val="32"/>
          <w:szCs w:val="32"/>
          <w14:textFill>
            <w14:solidFill>
              <w14:schemeClr w14:val="tx1"/>
            </w14:solidFill>
          </w14:textFill>
        </w:rPr>
        <w:t>名以上辐射带动能力强、示范作用好的农业科技示范主体。</w:t>
      </w:r>
    </w:p>
    <w:p>
      <w:pPr>
        <w:keepNext w:val="0"/>
        <w:keepLines w:val="0"/>
        <w:pageBreakBefore w:val="0"/>
        <w:widowControl w:val="0"/>
        <w:kinsoku/>
        <w:wordWrap/>
        <w:topLinePunct w:val="0"/>
        <w:autoSpaceDE/>
        <w:autoSpaceDN/>
        <w:bidi w:val="0"/>
        <w:adjustRightInd/>
        <w:snapToGrid/>
        <w:spacing w:line="640" w:lineRule="exact"/>
        <w:ind w:firstLine="645"/>
        <w:textAlignment w:val="auto"/>
        <w:rPr>
          <w:rFonts w:hint="eastAsia" w:ascii="黑体" w:hAnsi="黑体" w:eastAsia="黑体" w:cs="黑体"/>
          <w:sz w:val="32"/>
          <w:szCs w:val="32"/>
        </w:rPr>
      </w:pPr>
      <w:r>
        <w:rPr>
          <w:rFonts w:hint="eastAsia" w:ascii="黑体" w:hAnsi="黑体" w:eastAsia="黑体" w:cs="黑体"/>
          <w:sz w:val="32"/>
          <w:szCs w:val="32"/>
        </w:rPr>
        <w:t>四、重点任务</w:t>
      </w:r>
    </w:p>
    <w:p>
      <w:pPr>
        <w:keepNext w:val="0"/>
        <w:keepLines w:val="0"/>
        <w:pageBreakBefore w:val="0"/>
        <w:widowControl w:val="0"/>
        <w:kinsoku/>
        <w:wordWrap/>
        <w:topLinePunct w:val="0"/>
        <w:autoSpaceDE/>
        <w:autoSpaceDN/>
        <w:bidi w:val="0"/>
        <w:adjustRightInd/>
        <w:snapToGrid/>
        <w:spacing w:line="640" w:lineRule="exact"/>
        <w:ind w:firstLine="63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做实稳产保供科技服务</w:t>
      </w:r>
    </w:p>
    <w:p>
      <w:pPr>
        <w:keepNext w:val="0"/>
        <w:keepLines w:val="0"/>
        <w:pageBreakBefore w:val="0"/>
        <w:widowControl w:val="0"/>
        <w:kinsoku/>
        <w:wordWrap/>
        <w:topLinePunct w:val="0"/>
        <w:autoSpaceDE/>
        <w:autoSpaceDN/>
        <w:bidi w:val="0"/>
        <w:adjustRightInd/>
        <w:snapToGrid/>
        <w:spacing w:line="640" w:lineRule="exact"/>
        <w:ind w:firstLine="63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b/>
          <w:bCs/>
          <w:color w:val="auto"/>
          <w:sz w:val="32"/>
          <w:szCs w:val="32"/>
          <w:lang w:val="en-US" w:eastAsia="zh-CN"/>
        </w:rPr>
        <w:t>1.促进大豆先进适用技术集成落地。</w:t>
      </w:r>
      <w:r>
        <w:rPr>
          <w:rFonts w:hint="eastAsia" w:ascii="CESI仿宋-GB2312" w:hAnsi="CESI仿宋-GB2312" w:eastAsia="CESI仿宋-GB2312" w:cs="CESI仿宋-GB2312"/>
          <w:sz w:val="32"/>
          <w:szCs w:val="32"/>
          <w:lang w:eastAsia="zh-CN"/>
        </w:rPr>
        <w:t>强化农业农村部门组织作用，</w:t>
      </w:r>
      <w:r>
        <w:rPr>
          <w:rFonts w:hint="eastAsia" w:ascii="CESI仿宋-GB2312" w:hAnsi="CESI仿宋-GB2312" w:eastAsia="CESI仿宋-GB2312" w:cs="CESI仿宋-GB2312"/>
          <w:sz w:val="32"/>
          <w:szCs w:val="32"/>
        </w:rPr>
        <w:t>贯通农业科研、推广和高素质农民培育体系，主要依托市县农技推广机构、地市农科院所、大豆产业技术体系试验站等，</w:t>
      </w:r>
      <w:r>
        <w:rPr>
          <w:rFonts w:hint="eastAsia" w:ascii="CESI仿宋-GB2312" w:hAnsi="CESI仿宋-GB2312" w:eastAsia="CESI仿宋-GB2312" w:cs="CESI仿宋-GB2312"/>
          <w:sz w:val="32"/>
          <w:szCs w:val="32"/>
          <w:lang w:eastAsia="zh-CN"/>
        </w:rPr>
        <w:t>积极对接</w:t>
      </w:r>
      <w:r>
        <w:rPr>
          <w:rFonts w:hint="eastAsia" w:ascii="CESI仿宋-GB2312" w:hAnsi="CESI仿宋-GB2312" w:eastAsia="CESI仿宋-GB2312" w:cs="CESI仿宋-GB2312"/>
          <w:sz w:val="32"/>
          <w:szCs w:val="32"/>
        </w:rPr>
        <w:t>大豆技术集成创新平台体系，聚焦大豆单产提升</w:t>
      </w:r>
      <w:r>
        <w:rPr>
          <w:rFonts w:hint="eastAsia" w:ascii="CESI仿宋-GB2312" w:hAnsi="CESI仿宋-GB2312" w:eastAsia="CESI仿宋-GB2312" w:cs="CESI仿宋-GB2312"/>
          <w:sz w:val="32"/>
          <w:szCs w:val="32"/>
          <w:lang w:eastAsia="zh-CN"/>
        </w:rPr>
        <w:t>重点</w:t>
      </w:r>
      <w:r>
        <w:rPr>
          <w:rFonts w:hint="eastAsia" w:ascii="CESI仿宋-GB2312" w:hAnsi="CESI仿宋-GB2312" w:eastAsia="CESI仿宋-GB2312" w:cs="CESI仿宋-GB2312"/>
          <w:sz w:val="32"/>
          <w:szCs w:val="32"/>
        </w:rPr>
        <w:t>县，落实高油高产品种筛选、技术集成创新</w:t>
      </w:r>
      <w:r>
        <w:rPr>
          <w:rFonts w:hint="eastAsia" w:ascii="CESI仿宋-GB2312" w:hAnsi="CESI仿宋-GB2312" w:eastAsia="CESI仿宋-GB2312" w:cs="CESI仿宋-GB2312"/>
          <w:sz w:val="32"/>
          <w:szCs w:val="32"/>
          <w:lang w:eastAsia="zh-CN"/>
        </w:rPr>
        <w:t>及</w:t>
      </w:r>
      <w:r>
        <w:rPr>
          <w:rFonts w:hint="eastAsia" w:ascii="CESI仿宋-GB2312" w:hAnsi="CESI仿宋-GB2312" w:eastAsia="CESI仿宋-GB2312" w:cs="CESI仿宋-GB2312"/>
          <w:sz w:val="32"/>
          <w:szCs w:val="32"/>
        </w:rPr>
        <w:t>推广普及</w:t>
      </w:r>
      <w:r>
        <w:rPr>
          <w:rFonts w:hint="eastAsia" w:ascii="CESI仿宋-GB2312" w:hAnsi="CESI仿宋-GB2312" w:eastAsia="CESI仿宋-GB2312" w:cs="CESI仿宋-GB2312"/>
          <w:sz w:val="32"/>
          <w:szCs w:val="32"/>
          <w:lang w:eastAsia="zh-CN"/>
        </w:rPr>
        <w:t>等</w:t>
      </w:r>
      <w:r>
        <w:rPr>
          <w:rFonts w:hint="eastAsia" w:ascii="CESI仿宋-GB2312" w:hAnsi="CESI仿宋-GB2312" w:eastAsia="CESI仿宋-GB2312" w:cs="CESI仿宋-GB2312"/>
          <w:sz w:val="32"/>
          <w:szCs w:val="32"/>
        </w:rPr>
        <w:t>应用任务。</w:t>
      </w:r>
    </w:p>
    <w:p>
      <w:pPr>
        <w:keepNext w:val="0"/>
        <w:keepLines w:val="0"/>
        <w:pageBreakBefore w:val="0"/>
        <w:widowControl w:val="0"/>
        <w:kinsoku/>
        <w:wordWrap/>
        <w:topLinePunct w:val="0"/>
        <w:autoSpaceDE/>
        <w:autoSpaceDN/>
        <w:bidi w:val="0"/>
        <w:adjustRightInd/>
        <w:snapToGrid/>
        <w:spacing w:line="640" w:lineRule="exact"/>
        <w:ind w:firstLine="630"/>
        <w:textAlignment w:val="auto"/>
        <w:rPr>
          <w:rFonts w:hint="eastAsia" w:ascii="CESI仿宋-GB2312" w:hAnsi="CESI仿宋-GB2312" w:eastAsia="CESI仿宋-GB2312" w:cs="CESI仿宋-GB2312"/>
          <w:color w:val="000000" w:themeColor="text1"/>
          <w:sz w:val="32"/>
          <w:szCs w:val="32"/>
          <w14:textFill>
            <w14:solidFill>
              <w14:schemeClr w14:val="tx1"/>
            </w14:solidFill>
          </w14:textFill>
        </w:rPr>
      </w:pPr>
      <w:r>
        <w:rPr>
          <w:rFonts w:hint="eastAsia" w:ascii="CESI仿宋-GB2312" w:hAnsi="CESI仿宋-GB2312" w:eastAsia="CESI仿宋-GB2312" w:cs="CESI仿宋-GB2312"/>
          <w:b/>
          <w:bCs/>
          <w:color w:val="auto"/>
          <w:sz w:val="32"/>
          <w:szCs w:val="32"/>
          <w:lang w:val="en-US" w:eastAsia="zh-CN"/>
        </w:rPr>
        <w:t>2.强化稳产保供任务技术服务支撑。</w:t>
      </w:r>
      <w:r>
        <w:rPr>
          <w:rFonts w:hint="eastAsia" w:ascii="CESI仿宋-GB2312" w:hAnsi="CESI仿宋-GB2312" w:eastAsia="CESI仿宋-GB2312" w:cs="CESI仿宋-GB2312"/>
          <w:sz w:val="32"/>
          <w:szCs w:val="32"/>
          <w:lang w:eastAsia="zh-CN"/>
        </w:rPr>
        <w:t>坚持农业主导品种主推技术推介制度。</w:t>
      </w:r>
      <w:r>
        <w:rPr>
          <w:rFonts w:hint="eastAsia" w:ascii="CESI仿宋-GB2312" w:hAnsi="CESI仿宋-GB2312" w:eastAsia="CESI仿宋-GB2312" w:cs="CESI仿宋-GB2312"/>
          <w:sz w:val="32"/>
          <w:szCs w:val="32"/>
        </w:rPr>
        <w:t>围绕粮食和重要农产品稳产保供的要求，开展主导品种主推技术试验示范、动植物疫病虫害监测防治、农产品质量检验检测、农业防灾减灾等技术服务，强化推广体系公益性职责履行。</w:t>
      </w:r>
      <w:r>
        <w:rPr>
          <w:rFonts w:hint="eastAsia" w:ascii="CESI仿宋-GB2312" w:hAnsi="CESI仿宋-GB2312" w:eastAsia="CESI仿宋-GB2312" w:cs="CESI仿宋-GB2312"/>
          <w:sz w:val="32"/>
          <w:szCs w:val="32"/>
          <w:lang w:eastAsia="zh-CN"/>
        </w:rPr>
        <w:t>健全技术服务协作机制。</w:t>
      </w:r>
      <w:r>
        <w:rPr>
          <w:rFonts w:hint="eastAsia" w:ascii="CESI仿宋-GB2312" w:hAnsi="CESI仿宋-GB2312" w:eastAsia="CESI仿宋-GB2312" w:cs="CESI仿宋-GB2312"/>
          <w:sz w:val="32"/>
          <w:szCs w:val="32"/>
        </w:rPr>
        <w:t>着力支撑生物育种产业化试点、豇豆农药残留治理等重点工作。</w:t>
      </w:r>
      <w:r>
        <w:rPr>
          <w:rFonts w:hint="eastAsia" w:ascii="CESI仿宋-GB2312" w:hAnsi="CESI仿宋-GB2312" w:eastAsia="CESI仿宋-GB2312" w:cs="CESI仿宋-GB2312"/>
          <w:color w:val="000000" w:themeColor="text1"/>
          <w:sz w:val="32"/>
          <w:szCs w:val="32"/>
          <w14:textFill>
            <w14:solidFill>
              <w14:schemeClr w14:val="tx1"/>
            </w14:solidFill>
          </w14:textFill>
        </w:rPr>
        <w:t>大豆玉米生产大县</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要</w:t>
      </w:r>
      <w:r>
        <w:rPr>
          <w:rFonts w:hint="eastAsia" w:ascii="CESI仿宋-GB2312" w:hAnsi="CESI仿宋-GB2312" w:eastAsia="CESI仿宋-GB2312" w:cs="CESI仿宋-GB2312"/>
          <w:color w:val="000000" w:themeColor="text1"/>
          <w:sz w:val="32"/>
          <w:szCs w:val="32"/>
          <w14:textFill>
            <w14:solidFill>
              <w14:schemeClr w14:val="tx1"/>
            </w14:solidFill>
          </w14:textFill>
        </w:rPr>
        <w:t>针对大田单产偏低等问题，每县明确5名科技骨干，开展线上线下培训不少于10次、人员不少于500人次。</w:t>
      </w:r>
    </w:p>
    <w:p>
      <w:pPr>
        <w:keepNext w:val="0"/>
        <w:keepLines w:val="0"/>
        <w:pageBreakBefore w:val="0"/>
        <w:widowControl w:val="0"/>
        <w:kinsoku/>
        <w:wordWrap/>
        <w:topLinePunct w:val="0"/>
        <w:autoSpaceDE/>
        <w:autoSpaceDN/>
        <w:bidi w:val="0"/>
        <w:adjustRightInd/>
        <w:snapToGrid/>
        <w:spacing w:line="640" w:lineRule="exact"/>
        <w:ind w:firstLine="630"/>
        <w:textAlignment w:val="auto"/>
        <w:rPr>
          <w:rFonts w:hint="eastAsia" w:ascii="CESI仿宋-GB2312" w:hAnsi="CESI仿宋-GB2312" w:eastAsia="CESI仿宋-GB2312" w:cs="CESI仿宋-GB2312"/>
          <w:sz w:val="32"/>
          <w:szCs w:val="32"/>
        </w:rPr>
      </w:pPr>
      <w:r>
        <w:rPr>
          <w:rFonts w:hint="eastAsia" w:ascii="仿宋_GB2312" w:hAnsi="仿宋_GB2312" w:eastAsia="仿宋_GB2312" w:cs="仿宋_GB2312"/>
          <w:b/>
          <w:bCs/>
          <w:color w:val="auto"/>
          <w:sz w:val="32"/>
          <w:szCs w:val="32"/>
          <w:lang w:val="en-US" w:eastAsia="zh-CN"/>
        </w:rPr>
        <w:t>3.加强先进技术试验示范落地应用。</w:t>
      </w:r>
      <w:r>
        <w:rPr>
          <w:rFonts w:hint="eastAsia" w:ascii="CESI仿宋-GB2312" w:hAnsi="CESI仿宋-GB2312" w:eastAsia="CESI仿宋-GB2312" w:cs="CESI仿宋-GB2312"/>
          <w:sz w:val="32"/>
          <w:szCs w:val="32"/>
          <w:lang w:val="en-US" w:eastAsia="zh-CN"/>
        </w:rPr>
        <w:t>一是</w:t>
      </w:r>
      <w:r>
        <w:rPr>
          <w:rFonts w:hint="eastAsia" w:ascii="CESI仿宋-GB2312" w:hAnsi="CESI仿宋-GB2312" w:eastAsia="CESI仿宋-GB2312" w:cs="CESI仿宋-GB2312"/>
          <w:sz w:val="32"/>
          <w:szCs w:val="32"/>
        </w:rPr>
        <w:t>高标塑造农业科技示范展示基地，增强农业科技示范展示能力。各项目县要结合县域农情实际，加强行业协调统筹，建设2个</w:t>
      </w:r>
      <w:r>
        <w:rPr>
          <w:rFonts w:hint="eastAsia" w:ascii="CESI仿宋-GB2312" w:hAnsi="CESI仿宋-GB2312" w:eastAsia="CESI仿宋-GB2312" w:cs="CESI仿宋-GB2312"/>
          <w:sz w:val="32"/>
          <w:szCs w:val="32"/>
          <w:lang w:val="en" w:eastAsia="zh-CN"/>
        </w:rPr>
        <w:t>以上</w:t>
      </w:r>
      <w:r>
        <w:rPr>
          <w:rFonts w:hint="eastAsia" w:ascii="CESI仿宋-GB2312" w:hAnsi="CESI仿宋-GB2312" w:eastAsia="CESI仿宋-GB2312" w:cs="CESI仿宋-GB2312"/>
          <w:sz w:val="32"/>
          <w:szCs w:val="32"/>
        </w:rPr>
        <w:t>长期稳定、作用突出的农业科技示范展示基地。</w:t>
      </w:r>
      <w:r>
        <w:rPr>
          <w:rFonts w:hint="eastAsia" w:ascii="CESI仿宋-GB2312" w:hAnsi="CESI仿宋-GB2312" w:eastAsia="CESI仿宋-GB2312" w:cs="CESI仿宋-GB2312"/>
          <w:color w:val="000000" w:themeColor="text1"/>
          <w:sz w:val="32"/>
          <w:szCs w:val="32"/>
          <w14:textFill>
            <w14:solidFill>
              <w14:schemeClr w14:val="tx1"/>
            </w14:solidFill>
          </w14:textFill>
        </w:rPr>
        <w:t>每</w:t>
      </w:r>
      <w:r>
        <w:rPr>
          <w:rFonts w:hint="eastAsia" w:ascii="CESI仿宋-GB2312" w:hAnsi="CESI仿宋-GB2312" w:eastAsia="CESI仿宋-GB2312" w:cs="CESI仿宋-GB2312"/>
          <w:sz w:val="32"/>
          <w:szCs w:val="32"/>
        </w:rPr>
        <w:t>个基地要按照标准统一树立“2023年基层农技推广体系改革与建设项目农业科技示范展示基地”标识牌</w:t>
      </w:r>
      <w:r>
        <w:rPr>
          <w:rFonts w:hint="eastAsia" w:ascii="CESI仿宋-GB2312" w:hAnsi="CESI仿宋-GB2312" w:eastAsia="CESI仿宋-GB2312" w:cs="CESI仿宋-GB2312"/>
          <w:sz w:val="32"/>
          <w:szCs w:val="32"/>
          <w:lang w:eastAsia="zh-CN"/>
        </w:rPr>
        <w:t>（见附件），</w:t>
      </w:r>
      <w:r>
        <w:rPr>
          <w:rFonts w:hint="eastAsia" w:ascii="CESI仿宋-GB2312" w:hAnsi="CESI仿宋-GB2312" w:eastAsia="CESI仿宋-GB2312" w:cs="CESI仿宋-GB2312"/>
          <w:sz w:val="32"/>
          <w:szCs w:val="32"/>
        </w:rPr>
        <w:t>明确年度技术示范和服务任务，健全管理评价制度，发挥农业科技示范展示基地带动作用。</w:t>
      </w:r>
      <w:r>
        <w:rPr>
          <w:rFonts w:hint="eastAsia" w:ascii="CESI仿宋-GB2312" w:hAnsi="CESI仿宋-GB2312" w:eastAsia="CESI仿宋-GB2312" w:cs="CESI仿宋-GB2312"/>
          <w:sz w:val="32"/>
          <w:szCs w:val="32"/>
          <w:lang w:eastAsia="zh-CN"/>
        </w:rPr>
        <w:t>二</w:t>
      </w:r>
      <w:r>
        <w:rPr>
          <w:rFonts w:hint="eastAsia" w:ascii="CESI仿宋-GB2312" w:hAnsi="CESI仿宋-GB2312" w:eastAsia="CESI仿宋-GB2312" w:cs="CESI仿宋-GB2312"/>
          <w:sz w:val="32"/>
          <w:szCs w:val="32"/>
        </w:rPr>
        <w:t>是精准培育农业科技示范</w:t>
      </w:r>
      <w:r>
        <w:rPr>
          <w:rFonts w:hint="eastAsia" w:ascii="CESI仿宋-GB2312" w:hAnsi="CESI仿宋-GB2312" w:eastAsia="CESI仿宋-GB2312" w:cs="CESI仿宋-GB2312"/>
          <w:sz w:val="32"/>
          <w:szCs w:val="32"/>
          <w:lang w:eastAsia="zh-CN"/>
        </w:rPr>
        <w:t>主体</w:t>
      </w:r>
      <w:r>
        <w:rPr>
          <w:rFonts w:hint="eastAsia" w:ascii="CESI仿宋-GB2312" w:hAnsi="CESI仿宋-GB2312" w:eastAsia="CESI仿宋-GB2312" w:cs="CESI仿宋-GB2312"/>
          <w:sz w:val="32"/>
          <w:szCs w:val="32"/>
        </w:rPr>
        <w:t>，增强农业科技辐射带动能力。按照“选好一个、带动一片、致富一方”的原则，聚焦新型农业经营主体和高素质农民遴选科技示范户，每个乡镇（区域）农技站对接服务不少于10个农业科技示范</w:t>
      </w:r>
      <w:r>
        <w:rPr>
          <w:rFonts w:hint="eastAsia" w:ascii="CESI仿宋-GB2312" w:hAnsi="CESI仿宋-GB2312" w:eastAsia="CESI仿宋-GB2312" w:cs="CESI仿宋-GB2312"/>
          <w:sz w:val="32"/>
          <w:szCs w:val="32"/>
          <w:lang w:eastAsia="zh-CN"/>
        </w:rPr>
        <w:t>主体</w:t>
      </w:r>
      <w:r>
        <w:rPr>
          <w:rFonts w:hint="eastAsia" w:ascii="CESI仿宋-GB2312" w:hAnsi="CESI仿宋-GB2312" w:eastAsia="CESI仿宋-GB2312" w:cs="CESI仿宋-GB2312"/>
          <w:sz w:val="32"/>
          <w:szCs w:val="32"/>
        </w:rPr>
        <w:t>，通过指导服务、技术培训等方式，加强良种良法良机良艺应用展示示范，加快推广高产优质品种和先进适用技术模式，提升其科学种养水平和自我发展能力，将</w:t>
      </w:r>
      <w:r>
        <w:rPr>
          <w:rFonts w:hint="eastAsia" w:ascii="CESI仿宋-GB2312" w:hAnsi="CESI仿宋-GB2312" w:eastAsia="CESI仿宋-GB2312" w:cs="CESI仿宋-GB2312"/>
          <w:sz w:val="32"/>
          <w:szCs w:val="32"/>
          <w:lang w:eastAsia="zh-CN"/>
        </w:rPr>
        <w:t>其</w:t>
      </w:r>
      <w:r>
        <w:rPr>
          <w:rFonts w:hint="eastAsia" w:ascii="CESI仿宋-GB2312" w:hAnsi="CESI仿宋-GB2312" w:eastAsia="CESI仿宋-GB2312" w:cs="CESI仿宋-GB2312"/>
          <w:sz w:val="32"/>
          <w:szCs w:val="32"/>
        </w:rPr>
        <w:t>打造成主推技术应用的主力军。</w:t>
      </w:r>
      <w:r>
        <w:rPr>
          <w:rFonts w:hint="eastAsia" w:ascii="CESI仿宋-GB2312" w:hAnsi="CESI仿宋-GB2312" w:eastAsia="CESI仿宋-GB2312" w:cs="CESI仿宋-GB2312"/>
          <w:sz w:val="32"/>
          <w:szCs w:val="32"/>
          <w:lang w:eastAsia="zh-CN"/>
        </w:rPr>
        <w:t>三</w:t>
      </w:r>
      <w:r>
        <w:rPr>
          <w:rFonts w:hint="eastAsia" w:ascii="CESI仿宋-GB2312" w:hAnsi="CESI仿宋-GB2312" w:eastAsia="CESI仿宋-GB2312" w:cs="CESI仿宋-GB2312"/>
          <w:sz w:val="32"/>
          <w:szCs w:val="32"/>
        </w:rPr>
        <w:t>是推行农技人员包村联户服务</w:t>
      </w:r>
      <w:r>
        <w:rPr>
          <w:rFonts w:hint="eastAsia" w:ascii="CESI仿宋-GB2312" w:hAnsi="CESI仿宋-GB2312" w:eastAsia="CESI仿宋-GB2312" w:cs="CESI仿宋-GB2312"/>
          <w:sz w:val="32"/>
          <w:szCs w:val="32"/>
          <w:lang w:eastAsia="zh-CN"/>
        </w:rPr>
        <w:t>机制</w:t>
      </w:r>
      <w:r>
        <w:rPr>
          <w:rFonts w:hint="eastAsia" w:ascii="CESI仿宋-GB2312" w:hAnsi="CESI仿宋-GB2312" w:eastAsia="CESI仿宋-GB2312" w:cs="CESI仿宋-GB2312"/>
          <w:sz w:val="32"/>
          <w:szCs w:val="32"/>
        </w:rPr>
        <w:t>，支撑当地特色产业发展壮大。</w:t>
      </w:r>
      <w:r>
        <w:rPr>
          <w:rFonts w:hint="eastAsia" w:ascii="CESI仿宋-GB2312" w:hAnsi="CESI仿宋-GB2312" w:eastAsia="CESI仿宋-GB2312" w:cs="CESI仿宋-GB2312"/>
          <w:sz w:val="32"/>
          <w:szCs w:val="32"/>
          <w:lang w:eastAsia="zh-CN"/>
        </w:rPr>
        <w:t>项目县要聚力农技推广首席专家、农技指导员、农业科技示范主体、特聘农技员组成的县域农技推广服务团队建设，</w:t>
      </w:r>
      <w:r>
        <w:rPr>
          <w:rFonts w:hint="eastAsia" w:ascii="CESI仿宋-GB2312" w:hAnsi="CESI仿宋-GB2312" w:eastAsia="CESI仿宋-GB2312" w:cs="CESI仿宋-GB2312"/>
          <w:sz w:val="32"/>
          <w:szCs w:val="32"/>
        </w:rPr>
        <w:t>健全“专家定点联系到县、农技人员包村联户”为主要形式的技术推广责任机制和“专家+技术指导员+示范基地+科技示范主体+辐射带动户”链式推广服务机制，</w:t>
      </w:r>
      <w:r>
        <w:rPr>
          <w:rFonts w:hint="eastAsia" w:ascii="CESI仿宋-GB2312" w:hAnsi="CESI仿宋-GB2312" w:eastAsia="CESI仿宋-GB2312" w:cs="CESI仿宋-GB2312"/>
          <w:sz w:val="32"/>
          <w:szCs w:val="32"/>
          <w:lang w:eastAsia="zh-CN"/>
        </w:rPr>
        <w:t>实行技术服务首席专家负责制，</w:t>
      </w:r>
      <w:r>
        <w:rPr>
          <w:rFonts w:hint="eastAsia" w:ascii="CESI仿宋-GB2312" w:hAnsi="CESI仿宋-GB2312" w:eastAsia="CESI仿宋-GB2312" w:cs="CESI仿宋-GB2312"/>
          <w:sz w:val="32"/>
          <w:szCs w:val="32"/>
        </w:rPr>
        <w:t>每个农技指导员负责指导5个左右行政村，加快先进实用技术进村入户到田，做好农业防灾救灾减灾技术指导服务，促进产业提档升级。</w:t>
      </w:r>
    </w:p>
    <w:p>
      <w:pPr>
        <w:keepNext w:val="0"/>
        <w:keepLines w:val="0"/>
        <w:pageBreakBefore w:val="0"/>
        <w:widowControl w:val="0"/>
        <w:kinsoku/>
        <w:wordWrap/>
        <w:topLinePunct w:val="0"/>
        <w:autoSpaceDE/>
        <w:autoSpaceDN/>
        <w:bidi w:val="0"/>
        <w:adjustRightInd/>
        <w:snapToGrid/>
        <w:spacing w:line="640" w:lineRule="exact"/>
        <w:ind w:firstLine="63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加强农技推广人才队伍建设</w:t>
      </w:r>
    </w:p>
    <w:p>
      <w:pPr>
        <w:keepNext w:val="0"/>
        <w:keepLines w:val="0"/>
        <w:pageBreakBefore w:val="0"/>
        <w:widowControl w:val="0"/>
        <w:kinsoku/>
        <w:wordWrap/>
        <w:topLinePunct w:val="0"/>
        <w:autoSpaceDE/>
        <w:autoSpaceDN/>
        <w:bidi w:val="0"/>
        <w:adjustRightInd/>
        <w:snapToGrid/>
        <w:spacing w:line="640" w:lineRule="exact"/>
        <w:ind w:firstLine="630"/>
        <w:textAlignment w:val="auto"/>
        <w:rPr>
          <w:rFonts w:hint="eastAsia" w:ascii="CESI仿宋-GB2312" w:hAnsi="CESI仿宋-GB2312" w:eastAsia="CESI仿宋-GB2312" w:cs="CESI仿宋-GB2312"/>
          <w:sz w:val="32"/>
          <w:szCs w:val="32"/>
        </w:rPr>
      </w:pPr>
      <w:r>
        <w:rPr>
          <w:rFonts w:hint="eastAsia" w:ascii="仿宋_GB2312" w:hAnsi="仿宋_GB2312" w:eastAsia="仿宋_GB2312" w:cs="仿宋_GB2312"/>
          <w:b/>
          <w:bCs/>
          <w:color w:val="auto"/>
          <w:sz w:val="32"/>
          <w:szCs w:val="32"/>
          <w:lang w:val="en-US" w:eastAsia="zh-CN"/>
        </w:rPr>
        <w:t>1.提升农技推广队伍能力素质。一</w:t>
      </w:r>
      <w:r>
        <w:rPr>
          <w:rFonts w:hint="eastAsia" w:ascii="CESI仿宋-GB2312" w:hAnsi="CESI仿宋-GB2312" w:eastAsia="CESI仿宋-GB2312" w:cs="CESI仿宋-GB2312"/>
          <w:sz w:val="32"/>
          <w:szCs w:val="32"/>
        </w:rPr>
        <w:t>是实施基层农技人员能力素质提升行动。聚焦县域农技推广服务团队能力提升，完成1/3以上在编在岗基层农技人员知识更新培训。省市两级重点抓县域农技推广首席专家（农技推广骨干人才）和农技指导员培训，统一组织连续不少于5天的脱产业务培训；项目县根据地区产业发展实际，分产业、分层次、分主体开展线上线下等多种形式的农技人员知识更新培训，其中实训课程不少于3天。支持有条件地区通过“定向招生、定向培养、定向就业”等培养方式，吸引高素质人才进入农技推广队伍。</w:t>
      </w:r>
      <w:r>
        <w:rPr>
          <w:rFonts w:hint="eastAsia" w:ascii="CESI仿宋-GB2312" w:hAnsi="CESI仿宋-GB2312" w:eastAsia="CESI仿宋-GB2312" w:cs="CESI仿宋-GB2312"/>
          <w:sz w:val="32"/>
          <w:szCs w:val="32"/>
          <w:lang w:eastAsia="zh-CN"/>
        </w:rPr>
        <w:t>二</w:t>
      </w:r>
      <w:r>
        <w:rPr>
          <w:rFonts w:hint="eastAsia" w:ascii="CESI仿宋-GB2312" w:hAnsi="CESI仿宋-GB2312" w:eastAsia="CESI仿宋-GB2312" w:cs="CESI仿宋-GB2312"/>
          <w:sz w:val="32"/>
          <w:szCs w:val="32"/>
        </w:rPr>
        <w:t>是完善基层农技人员培训制度。统筹利用各类培训资源，加强农技推广人才培训规划，创设线上培训“云学”平台，构建省级示范培训、市县实地培训的分工协作机制，</w:t>
      </w:r>
      <w:r>
        <w:rPr>
          <w:rFonts w:hint="eastAsia" w:ascii="CESI仿宋-GB2312" w:hAnsi="CESI仿宋-GB2312" w:eastAsia="CESI仿宋-GB2312" w:cs="CESI仿宋-GB2312"/>
          <w:sz w:val="32"/>
          <w:szCs w:val="32"/>
          <w:lang w:eastAsia="zh-CN"/>
        </w:rPr>
        <w:t>采取</w:t>
      </w:r>
      <w:r>
        <w:rPr>
          <w:rFonts w:hint="eastAsia" w:ascii="CESI仿宋-GB2312" w:hAnsi="CESI仿宋-GB2312" w:eastAsia="CESI仿宋-GB2312" w:cs="CESI仿宋-GB2312"/>
          <w:sz w:val="32"/>
          <w:szCs w:val="32"/>
        </w:rPr>
        <w:t>线上与线下相结合、理论与实训相融合</w:t>
      </w:r>
      <w:r>
        <w:rPr>
          <w:rFonts w:hint="eastAsia" w:ascii="CESI仿宋-GB2312" w:hAnsi="CESI仿宋-GB2312" w:eastAsia="CESI仿宋-GB2312" w:cs="CESI仿宋-GB2312"/>
          <w:sz w:val="32"/>
          <w:szCs w:val="32"/>
          <w:lang w:eastAsia="zh-CN"/>
        </w:rPr>
        <w:t>的</w:t>
      </w:r>
      <w:r>
        <w:rPr>
          <w:rFonts w:hint="eastAsia" w:ascii="CESI仿宋-GB2312" w:hAnsi="CESI仿宋-GB2312" w:eastAsia="CESI仿宋-GB2312" w:cs="CESI仿宋-GB2312"/>
          <w:sz w:val="32"/>
          <w:szCs w:val="32"/>
        </w:rPr>
        <w:t>培训模式，灵活运用理论教学、现场实训、案例讲解、论坛交流等培训方式，优化创新农技人员能力素质提升路径，提高农技人员培训的针对性、精准性和实效性。三是完善农技人员绩效评价机制。强化服务业绩考评激励，明确农技人员的服务区域、服务内容和服务要求，完善以工作实绩和服务对象满意度为主要内容的评价机制，推动收入分配与绩效评价结果紧密挂钩，对长期扎根一线、作出突出贡献的农技人员，在职称评聘、成果申报、评先评优、绩效激励等方面予以倾斜。</w:t>
      </w:r>
    </w:p>
    <w:p>
      <w:pPr>
        <w:keepNext w:val="0"/>
        <w:keepLines w:val="0"/>
        <w:pageBreakBefore w:val="0"/>
        <w:widowControl w:val="0"/>
        <w:kinsoku/>
        <w:wordWrap/>
        <w:topLinePunct w:val="0"/>
        <w:autoSpaceDE/>
        <w:autoSpaceDN/>
        <w:bidi w:val="0"/>
        <w:adjustRightInd/>
        <w:snapToGrid/>
        <w:spacing w:line="64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lang w:val="en-US" w:eastAsia="zh-CN"/>
        </w:rPr>
        <w:t>2.优化特聘农技员队伍管理。</w:t>
      </w:r>
      <w:r>
        <w:rPr>
          <w:rFonts w:hint="eastAsia" w:ascii="CESI仿宋-GB2312" w:hAnsi="CESI仿宋-GB2312" w:eastAsia="CESI仿宋-GB2312" w:cs="CESI仿宋-GB2312"/>
          <w:sz w:val="32"/>
          <w:szCs w:val="32"/>
        </w:rPr>
        <w:t>在</w:t>
      </w:r>
      <w:r>
        <w:rPr>
          <w:rFonts w:hint="eastAsia" w:ascii="CESI仿宋-GB2312" w:hAnsi="CESI仿宋-GB2312" w:eastAsia="CESI仿宋-GB2312" w:cs="CESI仿宋-GB2312"/>
          <w:sz w:val="32"/>
          <w:szCs w:val="32"/>
          <w:lang w:val="en-US" w:eastAsia="zh-CN"/>
        </w:rPr>
        <w:t>6</w:t>
      </w:r>
      <w:r>
        <w:rPr>
          <w:rFonts w:hint="eastAsia" w:ascii="CESI仿宋-GB2312" w:hAnsi="CESI仿宋-GB2312" w:eastAsia="CESI仿宋-GB2312" w:cs="CESI仿宋-GB2312"/>
          <w:sz w:val="32"/>
          <w:szCs w:val="32"/>
        </w:rPr>
        <w:t>个脱贫县，每个脱贫县特聘农技员5名，制定农技推广服务特聘计划实施指导意见</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不断规范特聘农技员管理，核定招募计划、规范招募程序、完善续聘管理，将“土专家”、“田秀才”和新型经营主体技术骨干等逐步吸纳为农技推广服务重要力量。特聘计划实施县要完善遴选办法、规范购买服务协议，明确服务内容，健全管理制度，加强考核管理，实行稳定聘任与动态调整相结合，优先续聘考核优秀人员。做好特聘农技员信息化管理服务，完善中国农技推广信息服务平台特聘农技员服务管理，广泛宣传特聘农技员优秀典型。</w:t>
      </w:r>
    </w:p>
    <w:p>
      <w:pPr>
        <w:keepNext w:val="0"/>
        <w:keepLines w:val="0"/>
        <w:pageBreakBefore w:val="0"/>
        <w:widowControl w:val="0"/>
        <w:kinsoku/>
        <w:wordWrap/>
        <w:topLinePunct w:val="0"/>
        <w:autoSpaceDE/>
        <w:autoSpaceDN/>
        <w:bidi w:val="0"/>
        <w:adjustRightInd/>
        <w:snapToGrid/>
        <w:spacing w:line="640" w:lineRule="exact"/>
        <w:ind w:firstLine="63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支持农业科技社会化服务发展</w:t>
      </w:r>
    </w:p>
    <w:p>
      <w:pPr>
        <w:keepNext w:val="0"/>
        <w:keepLines w:val="0"/>
        <w:pageBreakBefore w:val="0"/>
        <w:widowControl w:val="0"/>
        <w:kinsoku/>
        <w:wordWrap/>
        <w:topLinePunct w:val="0"/>
        <w:autoSpaceDE/>
        <w:autoSpaceDN/>
        <w:bidi w:val="0"/>
        <w:adjustRightInd/>
        <w:snapToGrid/>
        <w:spacing w:line="640" w:lineRule="exact"/>
        <w:ind w:firstLine="63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支持农业科技社会化服务组织创新代耕代种、代管代收、全程托管、“互联网+农机作业”等服务模式，为农户提供生产管护、存储加工等全程科技服务。鼓励农业科技社会化服务组织牵头建设区域性综合服务平台，带动小农户合作经营、共同增收。引导推动农业科技社会化服务主体规范作业标准，特别是农机手技术服务标准等，集成综合技术方案，不断提高农机作业、统防统治、投入品精量施用等科技服务水平。发挥涉农科研院校在人才、成果、平台等方面优势，开展星级农技推广区域站与科技小院联建试点，加强农技推广人才培养，加快农业科技成果转化落地。</w:t>
      </w:r>
    </w:p>
    <w:p>
      <w:pPr>
        <w:keepNext w:val="0"/>
        <w:keepLines w:val="0"/>
        <w:pageBreakBefore w:val="0"/>
        <w:widowControl w:val="0"/>
        <w:kinsoku/>
        <w:wordWrap/>
        <w:topLinePunct w:val="0"/>
        <w:autoSpaceDE/>
        <w:autoSpaceDN/>
        <w:bidi w:val="0"/>
        <w:adjustRightInd/>
        <w:snapToGrid/>
        <w:spacing w:line="640" w:lineRule="exact"/>
        <w:ind w:firstLine="63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创新农技推广服务模式</w:t>
      </w:r>
    </w:p>
    <w:p>
      <w:pPr>
        <w:keepNext w:val="0"/>
        <w:keepLines w:val="0"/>
        <w:pageBreakBefore w:val="0"/>
        <w:widowControl w:val="0"/>
        <w:kinsoku/>
        <w:wordWrap/>
        <w:topLinePunct w:val="0"/>
        <w:autoSpaceDE/>
        <w:autoSpaceDN/>
        <w:bidi w:val="0"/>
        <w:adjustRightInd/>
        <w:snapToGrid/>
        <w:spacing w:line="640" w:lineRule="exact"/>
        <w:ind w:firstLine="63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color w:val="auto"/>
          <w:sz w:val="32"/>
          <w:szCs w:val="32"/>
          <w:lang w:val="en-US" w:eastAsia="zh-CN"/>
        </w:rPr>
        <w:t>1.优化县域农业科技服务。</w:t>
      </w:r>
      <w:r>
        <w:rPr>
          <w:rFonts w:hint="eastAsia" w:ascii="CESI仿宋-GB2312" w:hAnsi="CESI仿宋-GB2312" w:eastAsia="CESI仿宋-GB2312" w:cs="CESI仿宋-GB2312"/>
          <w:sz w:val="32"/>
          <w:szCs w:val="32"/>
        </w:rPr>
        <w:t>在全省</w:t>
      </w:r>
      <w:r>
        <w:rPr>
          <w:rFonts w:hint="eastAsia" w:ascii="CESI仿宋-GB2312" w:hAnsi="CESI仿宋-GB2312" w:eastAsia="CESI仿宋-GB2312" w:cs="CESI仿宋-GB2312"/>
          <w:sz w:val="32"/>
          <w:szCs w:val="32"/>
          <w:lang w:eastAsia="zh-CN"/>
        </w:rPr>
        <w:t>农业</w:t>
      </w:r>
      <w:r>
        <w:rPr>
          <w:rFonts w:hint="eastAsia" w:ascii="CESI仿宋-GB2312" w:hAnsi="CESI仿宋-GB2312" w:eastAsia="CESI仿宋-GB2312" w:cs="CESI仿宋-GB2312"/>
          <w:sz w:val="32"/>
          <w:szCs w:val="32"/>
        </w:rPr>
        <w:t>科技引领优势产业发展试点县探索新型农技推广服务模式，推动县域农技推广机构与科研院所、涉农高校、农业科技服务公司等社会化服务主体联合开展技术推广服务。发挥农技推广机构和人员对科技特派团帮扶工作的承接作用, 优先支持乡村振兴重点帮扶县开展农技人员培训、特聘农技员招募、先进技术示范展示等工作。</w:t>
      </w:r>
    </w:p>
    <w:p>
      <w:pPr>
        <w:keepNext w:val="0"/>
        <w:keepLines w:val="0"/>
        <w:pageBreakBefore w:val="0"/>
        <w:widowControl w:val="0"/>
        <w:kinsoku/>
        <w:wordWrap/>
        <w:topLinePunct w:val="0"/>
        <w:autoSpaceDE/>
        <w:autoSpaceDN/>
        <w:bidi w:val="0"/>
        <w:adjustRightInd/>
        <w:snapToGrid/>
        <w:spacing w:line="640" w:lineRule="exact"/>
        <w:ind w:firstLine="63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color w:val="auto"/>
          <w:sz w:val="32"/>
          <w:szCs w:val="32"/>
          <w:lang w:val="en-US" w:eastAsia="zh-CN"/>
        </w:rPr>
        <w:t>2.深化农技推广模式研究。</w:t>
      </w:r>
      <w:r>
        <w:rPr>
          <w:rFonts w:hint="eastAsia" w:ascii="CESI仿宋-GB2312" w:hAnsi="CESI仿宋-GB2312" w:eastAsia="CESI仿宋-GB2312" w:cs="CESI仿宋-GB2312"/>
          <w:sz w:val="32"/>
          <w:szCs w:val="32"/>
        </w:rPr>
        <w:t>坚持“一主多元”“一性三化”的农技推广体系改革建设</w:t>
      </w:r>
      <w:r>
        <w:rPr>
          <w:rFonts w:hint="eastAsia" w:ascii="CESI仿宋-GB2312" w:hAnsi="CESI仿宋-GB2312" w:eastAsia="CESI仿宋-GB2312" w:cs="CESI仿宋-GB2312"/>
          <w:sz w:val="32"/>
          <w:szCs w:val="32"/>
          <w:lang w:eastAsia="zh-CN"/>
        </w:rPr>
        <w:t>原则</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结合区域产业布局，突出应用导向，着眼服务效能提升，大兴调查研究。围绕强化基层农技推广体系公益性服务功能、创新市场化农技推广模式，高站位、宽视野、多路径总结研究农技推广主体作用发挥、农技推广平台载体建设、农技推广制度机制创设等方面经验得失，形成可复制、易推广的农技服务模式，完善基层农技推广体系。</w:t>
      </w:r>
    </w:p>
    <w:p>
      <w:pPr>
        <w:keepNext w:val="0"/>
        <w:keepLines w:val="0"/>
        <w:pageBreakBefore w:val="0"/>
        <w:widowControl w:val="0"/>
        <w:kinsoku/>
        <w:wordWrap/>
        <w:topLinePunct w:val="0"/>
        <w:autoSpaceDE/>
        <w:autoSpaceDN/>
        <w:bidi w:val="0"/>
        <w:adjustRightInd/>
        <w:snapToGrid/>
        <w:spacing w:line="640" w:lineRule="exact"/>
        <w:ind w:firstLine="63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提高农技推广信息化水平</w:t>
      </w:r>
    </w:p>
    <w:p>
      <w:pPr>
        <w:keepNext w:val="0"/>
        <w:keepLines w:val="0"/>
        <w:pageBreakBefore w:val="0"/>
        <w:widowControl w:val="0"/>
        <w:kinsoku/>
        <w:wordWrap/>
        <w:topLinePunct w:val="0"/>
        <w:autoSpaceDE/>
        <w:autoSpaceDN/>
        <w:bidi w:val="0"/>
        <w:adjustRightInd/>
        <w:snapToGrid/>
        <w:spacing w:line="640" w:lineRule="exact"/>
        <w:ind w:firstLine="63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color w:val="auto"/>
          <w:sz w:val="32"/>
          <w:szCs w:val="32"/>
          <w:lang w:val="en-US" w:eastAsia="zh-CN"/>
        </w:rPr>
        <w:t>1.全力推进线上推广服务。</w:t>
      </w:r>
      <w:r>
        <w:rPr>
          <w:rFonts w:hint="eastAsia" w:ascii="CESI仿宋-GB2312" w:hAnsi="CESI仿宋-GB2312" w:eastAsia="CESI仿宋-GB2312" w:cs="CESI仿宋-GB2312"/>
          <w:sz w:val="32"/>
          <w:szCs w:val="32"/>
          <w:lang w:eastAsia="zh-CN"/>
        </w:rPr>
        <w:t>持续</w:t>
      </w:r>
      <w:r>
        <w:rPr>
          <w:rFonts w:hint="eastAsia" w:ascii="CESI仿宋-GB2312" w:hAnsi="CESI仿宋-GB2312" w:eastAsia="CESI仿宋-GB2312" w:cs="CESI仿宋-GB2312"/>
          <w:sz w:val="32"/>
          <w:szCs w:val="32"/>
        </w:rPr>
        <w:t>普及中国农技推广信息服务平台使用</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围绕粮油作物大面积单产提升、重要农时和防灾减灾技术服务等重点任务，引导农技人员、科研专家、特聘农技员等使用“中国农技推广”、手机APP等信息平台开展线上</w:t>
      </w:r>
      <w:r>
        <w:rPr>
          <w:rFonts w:hint="eastAsia" w:ascii="CESI仿宋-GB2312" w:hAnsi="CESI仿宋-GB2312" w:eastAsia="CESI仿宋-GB2312" w:cs="CESI仿宋-GB2312"/>
          <w:sz w:val="32"/>
          <w:szCs w:val="32"/>
          <w:lang w:eastAsia="zh-CN"/>
        </w:rPr>
        <w:t>业务培训与</w:t>
      </w:r>
      <w:r>
        <w:rPr>
          <w:rFonts w:hint="eastAsia" w:ascii="CESI仿宋-GB2312" w:hAnsi="CESI仿宋-GB2312" w:eastAsia="CESI仿宋-GB2312" w:cs="CESI仿宋-GB2312"/>
          <w:sz w:val="32"/>
          <w:szCs w:val="32"/>
        </w:rPr>
        <w:t>指导服务。优化中国农技推广信息服务平台技术问答、农情预测预警、市场信息分析等多种类型服务，将农技人员</w:t>
      </w:r>
      <w:r>
        <w:rPr>
          <w:rFonts w:hint="eastAsia" w:ascii="CESI仿宋-GB2312" w:hAnsi="CESI仿宋-GB2312" w:eastAsia="CESI仿宋-GB2312" w:cs="CESI仿宋-GB2312"/>
          <w:sz w:val="32"/>
          <w:szCs w:val="32"/>
          <w:lang w:eastAsia="zh-CN"/>
        </w:rPr>
        <w:t>平台问</w:t>
      </w:r>
      <w:r>
        <w:rPr>
          <w:rFonts w:hint="eastAsia" w:ascii="CESI仿宋-GB2312" w:hAnsi="CESI仿宋-GB2312" w:eastAsia="CESI仿宋-GB2312" w:cs="CESI仿宋-GB2312"/>
          <w:sz w:val="32"/>
          <w:szCs w:val="32"/>
        </w:rPr>
        <w:t>答</w:t>
      </w:r>
      <w:r>
        <w:rPr>
          <w:rFonts w:hint="eastAsia" w:ascii="CESI仿宋-GB2312" w:hAnsi="CESI仿宋-GB2312" w:eastAsia="CESI仿宋-GB2312" w:cs="CESI仿宋-GB2312"/>
          <w:sz w:val="32"/>
          <w:szCs w:val="32"/>
          <w:lang w:eastAsia="zh-CN"/>
        </w:rPr>
        <w:t>情况纳入</w:t>
      </w:r>
      <w:r>
        <w:rPr>
          <w:rFonts w:hint="eastAsia" w:ascii="CESI仿宋-GB2312" w:hAnsi="CESI仿宋-GB2312" w:eastAsia="CESI仿宋-GB2312" w:cs="CESI仿宋-GB2312"/>
          <w:sz w:val="32"/>
          <w:szCs w:val="32"/>
        </w:rPr>
        <w:t>绩效评价指标</w:t>
      </w:r>
      <w:r>
        <w:rPr>
          <w:rFonts w:hint="eastAsia" w:ascii="CESI仿宋-GB2312" w:hAnsi="CESI仿宋-GB2312" w:eastAsia="CESI仿宋-GB2312" w:cs="CESI仿宋-GB2312"/>
          <w:sz w:val="32"/>
          <w:szCs w:val="32"/>
          <w:lang w:eastAsia="zh-CN"/>
        </w:rPr>
        <w:t>体系。支持有条件的地方探索轻简化农技推广服务信息化平台建设，推进“互联网</w:t>
      </w:r>
      <w:r>
        <w:rPr>
          <w:rFonts w:hint="eastAsia" w:ascii="CESI仿宋-GB2312" w:hAnsi="CESI仿宋-GB2312" w:eastAsia="CESI仿宋-GB2312" w:cs="CESI仿宋-GB2312"/>
          <w:sz w:val="32"/>
          <w:szCs w:val="32"/>
          <w:lang w:val="en-US" w:eastAsia="zh-CN"/>
        </w:rPr>
        <w:t>+农技推广</w:t>
      </w:r>
      <w:r>
        <w:rPr>
          <w:rFonts w:hint="eastAsia" w:ascii="CESI仿宋-GB2312" w:hAnsi="CESI仿宋-GB2312" w:eastAsia="CESI仿宋-GB2312" w:cs="CESI仿宋-GB2312"/>
          <w:sz w:val="32"/>
          <w:szCs w:val="32"/>
          <w:lang w:eastAsia="zh-CN"/>
        </w:rPr>
        <w:t>”向纵深发展。</w:t>
      </w:r>
    </w:p>
    <w:p>
      <w:pPr>
        <w:keepNext w:val="0"/>
        <w:keepLines w:val="0"/>
        <w:pageBreakBefore w:val="0"/>
        <w:widowControl w:val="0"/>
        <w:kinsoku/>
        <w:wordWrap/>
        <w:topLinePunct w:val="0"/>
        <w:autoSpaceDE/>
        <w:autoSpaceDN/>
        <w:bidi w:val="0"/>
        <w:adjustRightInd/>
        <w:snapToGrid/>
        <w:spacing w:line="640" w:lineRule="exact"/>
        <w:ind w:firstLine="63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lang w:val="en-US" w:eastAsia="zh-CN"/>
        </w:rPr>
        <w:t>2.强化平台应用与管理。</w:t>
      </w:r>
      <w:r>
        <w:rPr>
          <w:rFonts w:hint="eastAsia" w:ascii="CESI仿宋-GB2312" w:hAnsi="CESI仿宋-GB2312" w:eastAsia="CESI仿宋-GB2312" w:cs="CESI仿宋-GB2312"/>
          <w:sz w:val="32"/>
          <w:szCs w:val="32"/>
        </w:rPr>
        <w:t>继续将</w:t>
      </w:r>
      <w:r>
        <w:rPr>
          <w:rFonts w:hint="eastAsia" w:ascii="CESI仿宋-GB2312" w:hAnsi="CESI仿宋-GB2312" w:eastAsia="CESI仿宋-GB2312" w:cs="CESI仿宋-GB2312"/>
          <w:sz w:val="32"/>
          <w:szCs w:val="32"/>
          <w:lang w:eastAsia="zh-CN"/>
        </w:rPr>
        <w:t>中国农技推广信息服务</w:t>
      </w:r>
      <w:r>
        <w:rPr>
          <w:rFonts w:hint="eastAsia" w:ascii="CESI仿宋-GB2312" w:hAnsi="CESI仿宋-GB2312" w:eastAsia="CESI仿宋-GB2312" w:cs="CESI仿宋-GB2312"/>
          <w:sz w:val="32"/>
          <w:szCs w:val="32"/>
        </w:rPr>
        <w:t>平台作为项目推进实施、绩效管理、经费安排的重要支撑，</w:t>
      </w:r>
      <w:r>
        <w:rPr>
          <w:rFonts w:hint="eastAsia" w:ascii="CESI仿宋-GB2312" w:hAnsi="CESI仿宋-GB2312" w:eastAsia="CESI仿宋-GB2312" w:cs="CESI仿宋-GB2312"/>
          <w:sz w:val="32"/>
          <w:szCs w:val="32"/>
          <w:lang w:eastAsia="zh-CN"/>
        </w:rPr>
        <w:t>加强</w:t>
      </w:r>
      <w:r>
        <w:rPr>
          <w:rFonts w:hint="eastAsia" w:ascii="CESI仿宋-GB2312" w:hAnsi="CESI仿宋-GB2312" w:eastAsia="CESI仿宋-GB2312" w:cs="CESI仿宋-GB2312"/>
          <w:sz w:val="32"/>
          <w:szCs w:val="32"/>
        </w:rPr>
        <w:t>工作动态、文件材料、</w:t>
      </w:r>
      <w:r>
        <w:rPr>
          <w:rFonts w:hint="eastAsia" w:ascii="CESI仿宋-GB2312" w:hAnsi="CESI仿宋-GB2312" w:eastAsia="CESI仿宋-GB2312" w:cs="CESI仿宋-GB2312"/>
          <w:sz w:val="32"/>
          <w:szCs w:val="32"/>
          <w:lang w:eastAsia="zh-CN"/>
        </w:rPr>
        <w:t>能力提升</w:t>
      </w:r>
      <w:r>
        <w:rPr>
          <w:rFonts w:hint="eastAsia" w:ascii="CESI仿宋-GB2312" w:hAnsi="CESI仿宋-GB2312" w:eastAsia="CESI仿宋-GB2312" w:cs="CESI仿宋-GB2312"/>
          <w:sz w:val="32"/>
          <w:szCs w:val="32"/>
        </w:rPr>
        <w:t>、主推技术、主体培育和示范基地等内容</w:t>
      </w:r>
      <w:r>
        <w:rPr>
          <w:rFonts w:hint="eastAsia" w:ascii="CESI仿宋-GB2312" w:hAnsi="CESI仿宋-GB2312" w:eastAsia="CESI仿宋-GB2312" w:cs="CESI仿宋-GB2312"/>
          <w:sz w:val="32"/>
          <w:szCs w:val="32"/>
          <w:lang w:eastAsia="zh-CN"/>
        </w:rPr>
        <w:t>的数据</w:t>
      </w:r>
      <w:r>
        <w:rPr>
          <w:rFonts w:hint="eastAsia" w:ascii="CESI仿宋-GB2312" w:hAnsi="CESI仿宋-GB2312" w:eastAsia="CESI仿宋-GB2312" w:cs="CESI仿宋-GB2312"/>
          <w:sz w:val="32"/>
          <w:szCs w:val="32"/>
        </w:rPr>
        <w:t>填报和更新工作。支持各地健全</w:t>
      </w:r>
      <w:r>
        <w:rPr>
          <w:rFonts w:hint="eastAsia" w:ascii="CESI仿宋-GB2312" w:hAnsi="CESI仿宋-GB2312" w:eastAsia="CESI仿宋-GB2312" w:cs="CESI仿宋-GB2312"/>
          <w:sz w:val="32"/>
          <w:szCs w:val="32"/>
          <w:lang w:eastAsia="zh-CN"/>
        </w:rPr>
        <w:t>多部门协同</w:t>
      </w:r>
      <w:r>
        <w:rPr>
          <w:rFonts w:hint="eastAsia" w:ascii="CESI仿宋-GB2312" w:hAnsi="CESI仿宋-GB2312" w:eastAsia="CESI仿宋-GB2312" w:cs="CESI仿宋-GB2312"/>
          <w:sz w:val="32"/>
          <w:szCs w:val="32"/>
        </w:rPr>
        <w:t>、数据共享的农技推广服务模式，探索推进农技员、特聘农技员注册及核准机制</w:t>
      </w:r>
      <w:r>
        <w:rPr>
          <w:rFonts w:hint="eastAsia" w:ascii="CESI仿宋-GB2312" w:hAnsi="CESI仿宋-GB2312" w:eastAsia="CESI仿宋-GB2312" w:cs="CESI仿宋-GB2312"/>
          <w:sz w:val="32"/>
          <w:szCs w:val="32"/>
          <w:lang w:eastAsia="zh-CN"/>
        </w:rPr>
        <w:t>，全面</w:t>
      </w:r>
      <w:r>
        <w:rPr>
          <w:rFonts w:hint="eastAsia" w:ascii="CESI仿宋-GB2312" w:hAnsi="CESI仿宋-GB2312" w:eastAsia="CESI仿宋-GB2312" w:cs="CESI仿宋-GB2312"/>
          <w:sz w:val="32"/>
          <w:szCs w:val="32"/>
        </w:rPr>
        <w:t>拓宽平台的覆盖面和使用率。</w:t>
      </w:r>
    </w:p>
    <w:p>
      <w:pPr>
        <w:keepNext w:val="0"/>
        <w:keepLines w:val="0"/>
        <w:pageBreakBefore w:val="0"/>
        <w:widowControl w:val="0"/>
        <w:kinsoku/>
        <w:wordWrap/>
        <w:topLinePunct w:val="0"/>
        <w:autoSpaceDE/>
        <w:autoSpaceDN/>
        <w:bidi w:val="0"/>
        <w:adjustRightInd/>
        <w:snapToGrid/>
        <w:spacing w:line="640" w:lineRule="exact"/>
        <w:ind w:firstLine="645"/>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黑体" w:hAnsi="黑体" w:eastAsia="黑体" w:cs="黑体"/>
          <w:sz w:val="32"/>
          <w:szCs w:val="32"/>
          <w:lang w:eastAsia="zh-CN"/>
        </w:rPr>
        <w:t>项目资金安排和支持内容</w:t>
      </w:r>
    </w:p>
    <w:p>
      <w:pPr>
        <w:keepNext w:val="0"/>
        <w:keepLines w:val="0"/>
        <w:pageBreakBefore w:val="0"/>
        <w:widowControl w:val="0"/>
        <w:kinsoku/>
        <w:wordWrap/>
        <w:topLinePunct w:val="0"/>
        <w:autoSpaceDE/>
        <w:autoSpaceDN/>
        <w:bidi w:val="0"/>
        <w:adjustRightInd/>
        <w:snapToGrid/>
        <w:spacing w:line="640" w:lineRule="exact"/>
        <w:ind w:firstLine="630"/>
        <w:textAlignment w:val="auto"/>
        <w:rPr>
          <w:rFonts w:hint="eastAsia" w:ascii="CESI仿宋-GB2312" w:hAnsi="CESI仿宋-GB2312" w:eastAsia="CESI仿宋-GB2312" w:cs="CESI仿宋-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（一）实施范围。</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在保持实施范围基本稳定的基础上，支持全市10个县（区）加强基层农技推广体系改革与建设，支持市农业技术推广服务中心利用</w:t>
      </w:r>
      <w:r>
        <w:rPr>
          <w:rFonts w:hint="eastAsia" w:ascii="CESI仿宋-GB2312" w:hAnsi="CESI仿宋-GB2312" w:eastAsia="CESI仿宋-GB2312" w:cs="CESI仿宋-GB2312"/>
          <w:color w:val="000000" w:themeColor="text1"/>
          <w:sz w:val="32"/>
          <w:szCs w:val="32"/>
          <w14:textFill>
            <w14:solidFill>
              <w14:schemeClr w14:val="tx1"/>
            </w14:solidFill>
          </w14:textFill>
        </w:rPr>
        <w:t>2022年度</w:t>
      </w:r>
      <w:r>
        <w:rPr>
          <w:rFonts w:hint="eastAsia" w:ascii="CESI仿宋-GB2312" w:hAnsi="CESI仿宋-GB2312" w:eastAsia="CESI仿宋-GB2312" w:cs="CESI仿宋-GB2312"/>
          <w:sz w:val="32"/>
          <w:szCs w:val="32"/>
        </w:rPr>
        <w:t>绩效管理优秀单位奖励资金</w:t>
      </w:r>
      <w:r>
        <w:rPr>
          <w:rFonts w:hint="eastAsia" w:ascii="CESI仿宋-GB2312" w:hAnsi="CESI仿宋-GB2312" w:eastAsia="CESI仿宋-GB2312" w:cs="CESI仿宋-GB2312"/>
          <w:sz w:val="32"/>
          <w:szCs w:val="32"/>
          <w:lang w:eastAsia="zh-CN"/>
        </w:rPr>
        <w:t>开展技术</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推广</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。项目</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资金分配与往年政策执行相衔接，体现绩效目标结果导向，向重大政策、重要部署、重点任务倾斜，</w:t>
      </w:r>
      <w:r>
        <w:rPr>
          <w:rFonts w:hint="eastAsia" w:ascii="CESI仿宋-GB2312" w:hAnsi="CESI仿宋-GB2312" w:eastAsia="CESI仿宋-GB2312" w:cs="CESI仿宋-GB2312"/>
          <w:color w:val="000000" w:themeColor="text1"/>
          <w:sz w:val="32"/>
          <w:szCs w:val="32"/>
          <w14:textFill>
            <w14:solidFill>
              <w14:schemeClr w14:val="tx1"/>
            </w14:solidFill>
          </w14:textFill>
        </w:rPr>
        <w:t>项目资金</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测算按照</w:t>
      </w:r>
      <w:r>
        <w:rPr>
          <w:rFonts w:hint="eastAsia" w:ascii="CESI仿宋-GB2312" w:hAnsi="CESI仿宋-GB2312" w:eastAsia="CESI仿宋-GB2312" w:cs="CESI仿宋-GB2312"/>
          <w:color w:val="000000" w:themeColor="text1"/>
          <w:sz w:val="32"/>
          <w:szCs w:val="32"/>
          <w14:textFill>
            <w14:solidFill>
              <w14:schemeClr w14:val="tx1"/>
            </w14:solidFill>
          </w14:textFill>
        </w:rPr>
        <w:t>基础</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因素（</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40%</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w:t>
      </w:r>
      <w:r>
        <w:rPr>
          <w:rFonts w:hint="eastAsia" w:ascii="CESI仿宋-GB2312" w:hAnsi="CESI仿宋-GB2312" w:eastAsia="CESI仿宋-GB2312" w:cs="CESI仿宋-GB2312"/>
          <w:color w:val="000000" w:themeColor="text1"/>
          <w:sz w:val="32"/>
          <w:szCs w:val="32"/>
          <w14:textFill>
            <w14:solidFill>
              <w14:schemeClr w14:val="tx1"/>
            </w14:solidFill>
          </w14:textFill>
        </w:rPr>
        <w:t>任务</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因素（</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55%</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w:t>
      </w:r>
      <w:r>
        <w:rPr>
          <w:rFonts w:hint="eastAsia" w:ascii="CESI仿宋-GB2312" w:hAnsi="CESI仿宋-GB2312" w:eastAsia="CESI仿宋-GB2312" w:cs="CESI仿宋-GB2312"/>
          <w:color w:val="000000" w:themeColor="text1"/>
          <w:sz w:val="32"/>
          <w:szCs w:val="32"/>
          <w14:textFill>
            <w14:solidFill>
              <w14:schemeClr w14:val="tx1"/>
            </w14:solidFill>
          </w14:textFill>
        </w:rPr>
        <w:t>、绩效评价</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因素（</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5%</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w:t>
      </w:r>
      <w:r>
        <w:rPr>
          <w:rFonts w:hint="eastAsia" w:ascii="CESI仿宋-GB2312" w:hAnsi="CESI仿宋-GB2312" w:eastAsia="CESI仿宋-GB2312" w:cs="CESI仿宋-GB2312"/>
          <w:color w:val="000000" w:themeColor="text1"/>
          <w:sz w:val="32"/>
          <w:szCs w:val="32"/>
          <w14:textFill>
            <w14:solidFill>
              <w14:schemeClr w14:val="tx1"/>
            </w14:solidFill>
          </w14:textFill>
        </w:rPr>
        <w:t>进行测算。</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楷体_GB2312" w:hAnsi="楷体_GB2312" w:eastAsia="楷体_GB2312" w:cs="楷体_GB2312"/>
          <w:sz w:val="32"/>
          <w:szCs w:val="32"/>
          <w:lang w:eastAsia="zh-CN"/>
        </w:rPr>
        <w:t>（二）支持内容。</w:t>
      </w:r>
      <w:r>
        <w:rPr>
          <w:rFonts w:hint="eastAsia" w:ascii="CESI仿宋-GB2312" w:hAnsi="CESI仿宋-GB2312" w:eastAsia="CESI仿宋-GB2312" w:cs="CESI仿宋-GB2312"/>
          <w:b/>
          <w:bCs/>
          <w:sz w:val="32"/>
          <w:szCs w:val="32"/>
          <w:lang w:val="en-US" w:eastAsia="zh-CN"/>
        </w:rPr>
        <w:t>1.农技人员推广服务补助。</w:t>
      </w:r>
      <w:r>
        <w:rPr>
          <w:rFonts w:hint="eastAsia" w:ascii="CESI仿宋-GB2312" w:hAnsi="CESI仿宋-GB2312" w:eastAsia="CESI仿宋-GB2312" w:cs="CESI仿宋-GB2312"/>
          <w:sz w:val="32"/>
          <w:szCs w:val="32"/>
          <w:lang w:eastAsia="zh-CN"/>
        </w:rPr>
        <w:t>主要用于基层农技人员进村入户开展技术指导服务产生的交通费、误餐费、通讯（流量）费等；聘请技术专家开展技术指导和培训所产生的劳务费、交通费等。服务补助按照各地有关差旅补助标准执行。该项支出不得超过项目资金总额的</w:t>
      </w:r>
      <w:r>
        <w:rPr>
          <w:rFonts w:hint="eastAsia" w:ascii="CESI仿宋-GB2312" w:hAnsi="CESI仿宋-GB2312" w:eastAsia="CESI仿宋-GB2312" w:cs="CESI仿宋-GB2312"/>
          <w:sz w:val="32"/>
          <w:szCs w:val="32"/>
          <w:lang w:val="en-US" w:eastAsia="zh-CN"/>
        </w:rPr>
        <w:t>35%</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b/>
          <w:bCs/>
          <w:sz w:val="32"/>
          <w:szCs w:val="32"/>
          <w:lang w:val="en-US" w:eastAsia="zh-CN"/>
        </w:rPr>
        <w:t>2.特聘农技员服务补助。</w:t>
      </w:r>
      <w:r>
        <w:rPr>
          <w:rFonts w:hint="eastAsia" w:ascii="CESI仿宋-GB2312" w:hAnsi="CESI仿宋-GB2312" w:eastAsia="CESI仿宋-GB2312" w:cs="CESI仿宋-GB2312"/>
          <w:sz w:val="32"/>
          <w:szCs w:val="32"/>
          <w:lang w:eastAsia="zh-CN"/>
        </w:rPr>
        <w:t>由项目县结合产业需求自主确定，原则上特聘农技员服务补助不超过</w:t>
      </w:r>
      <w:r>
        <w:rPr>
          <w:rFonts w:hint="eastAsia" w:ascii="CESI仿宋-GB2312" w:hAnsi="CESI仿宋-GB2312" w:eastAsia="CESI仿宋-GB2312" w:cs="CESI仿宋-GB2312"/>
          <w:sz w:val="32"/>
          <w:szCs w:val="32"/>
          <w:lang w:val="en-US" w:eastAsia="zh-CN"/>
        </w:rPr>
        <w:t>3万元/人/年。</w:t>
      </w:r>
      <w:r>
        <w:rPr>
          <w:rFonts w:hint="eastAsia" w:ascii="CESI仿宋-GB2312" w:hAnsi="CESI仿宋-GB2312" w:eastAsia="CESI仿宋-GB2312" w:cs="CESI仿宋-GB2312"/>
          <w:b/>
          <w:bCs/>
          <w:sz w:val="32"/>
          <w:szCs w:val="32"/>
          <w:lang w:val="en-US" w:eastAsia="zh-CN"/>
        </w:rPr>
        <w:t>3.农业科技示范展示服务补助。</w:t>
      </w:r>
      <w:r>
        <w:rPr>
          <w:rFonts w:hint="eastAsia" w:ascii="CESI仿宋-GB2312" w:hAnsi="CESI仿宋-GB2312" w:eastAsia="CESI仿宋-GB2312" w:cs="CESI仿宋-GB2312"/>
          <w:sz w:val="32"/>
          <w:szCs w:val="32"/>
          <w:lang w:val="en-US" w:eastAsia="zh-CN"/>
        </w:rPr>
        <w:t>主要用于农业社会化服务组织、农业科技示范展示基地和示范主体开展主导品种主推技术集成熟化、示范展示所需的物资投入以及培训观摩活动所需费用。该项支出不得低于项目资金总额的25%。</w:t>
      </w:r>
      <w:r>
        <w:rPr>
          <w:rFonts w:hint="eastAsia" w:ascii="CESI仿宋-GB2312" w:hAnsi="CESI仿宋-GB2312" w:eastAsia="CESI仿宋-GB2312" w:cs="CESI仿宋-GB2312"/>
          <w:b/>
          <w:bCs/>
          <w:sz w:val="32"/>
          <w:szCs w:val="32"/>
          <w:lang w:val="en-US" w:eastAsia="zh-CN"/>
        </w:rPr>
        <w:t>4.农技人员能力素质提升补助。</w:t>
      </w:r>
      <w:r>
        <w:rPr>
          <w:rFonts w:hint="eastAsia" w:ascii="CESI仿宋-GB2312" w:hAnsi="CESI仿宋-GB2312" w:eastAsia="CESI仿宋-GB2312" w:cs="CESI仿宋-GB2312"/>
          <w:sz w:val="32"/>
          <w:szCs w:val="32"/>
          <w:lang w:val="en-US" w:eastAsia="zh-CN"/>
        </w:rPr>
        <w:t>主要用于各层级农技人员线上线下培训，包括教师授课费、教材费、场地费、食宿费、交通费等。该项支出不超过项目资金总额的30%。5</w:t>
      </w:r>
      <w:r>
        <w:rPr>
          <w:rFonts w:hint="eastAsia" w:ascii="CESI仿宋-GB2312" w:hAnsi="CESI仿宋-GB2312" w:eastAsia="CESI仿宋-GB2312" w:cs="CESI仿宋-GB2312"/>
          <w:b/>
          <w:bCs/>
          <w:sz w:val="32"/>
          <w:szCs w:val="32"/>
          <w:lang w:val="en-US" w:eastAsia="zh-CN"/>
        </w:rPr>
        <w:t>.信息化服务建设补助。</w:t>
      </w:r>
      <w:r>
        <w:rPr>
          <w:rFonts w:hint="eastAsia" w:ascii="CESI仿宋-GB2312" w:hAnsi="CESI仿宋-GB2312" w:eastAsia="CESI仿宋-GB2312" w:cs="CESI仿宋-GB2312"/>
          <w:sz w:val="32"/>
          <w:szCs w:val="32"/>
        </w:rPr>
        <w:t>主要用于科研教学人员、基层农技人员和社会化服务组织开展农情信息咨询、技术</w:t>
      </w:r>
      <w:r>
        <w:rPr>
          <w:rFonts w:hint="eastAsia" w:ascii="CESI仿宋-GB2312" w:hAnsi="CESI仿宋-GB2312" w:eastAsia="CESI仿宋-GB2312" w:cs="CESI仿宋-GB2312"/>
          <w:sz w:val="32"/>
          <w:szCs w:val="32"/>
          <w:lang w:eastAsia="zh-CN"/>
        </w:rPr>
        <w:t>科普</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培训</w:t>
      </w:r>
      <w:r>
        <w:rPr>
          <w:rFonts w:hint="eastAsia" w:ascii="CESI仿宋-GB2312" w:hAnsi="CESI仿宋-GB2312" w:eastAsia="CESI仿宋-GB2312" w:cs="CESI仿宋-GB2312"/>
          <w:sz w:val="32"/>
          <w:szCs w:val="32"/>
        </w:rPr>
        <w:t>视频</w:t>
      </w:r>
      <w:r>
        <w:rPr>
          <w:rFonts w:hint="eastAsia" w:ascii="CESI仿宋-GB2312" w:hAnsi="CESI仿宋-GB2312" w:eastAsia="CESI仿宋-GB2312" w:cs="CESI仿宋-GB2312"/>
          <w:sz w:val="32"/>
          <w:szCs w:val="32"/>
          <w:lang w:eastAsia="zh-CN"/>
        </w:rPr>
        <w:t>制作</w:t>
      </w:r>
      <w:r>
        <w:rPr>
          <w:rFonts w:hint="eastAsia" w:ascii="CESI仿宋-GB2312" w:hAnsi="CESI仿宋-GB2312" w:eastAsia="CESI仿宋-GB2312" w:cs="CESI仿宋-GB2312"/>
          <w:sz w:val="32"/>
          <w:szCs w:val="32"/>
        </w:rPr>
        <w:t>等农技推广服务活动所需的费用。</w:t>
      </w:r>
      <w:r>
        <w:rPr>
          <w:rFonts w:hint="eastAsia" w:ascii="CESI仿宋-GB2312" w:hAnsi="CESI仿宋-GB2312" w:eastAsia="CESI仿宋-GB2312" w:cs="CESI仿宋-GB2312"/>
          <w:sz w:val="32"/>
          <w:szCs w:val="32"/>
          <w:lang w:eastAsia="zh-CN"/>
        </w:rPr>
        <w:t>该项支出不得超过项目资金总额的</w:t>
      </w:r>
      <w:r>
        <w:rPr>
          <w:rFonts w:hint="eastAsia" w:ascii="CESI仿宋-GB2312" w:hAnsi="CESI仿宋-GB2312" w:eastAsia="CESI仿宋-GB2312" w:cs="CESI仿宋-GB2312"/>
          <w:sz w:val="32"/>
          <w:szCs w:val="32"/>
          <w:lang w:val="en-US" w:eastAsia="zh-CN"/>
        </w:rPr>
        <w:t>5%。6</w:t>
      </w:r>
      <w:r>
        <w:rPr>
          <w:rFonts w:hint="eastAsia" w:ascii="CESI仿宋-GB2312" w:hAnsi="CESI仿宋-GB2312" w:eastAsia="CESI仿宋-GB2312" w:cs="CESI仿宋-GB2312"/>
          <w:b/>
          <w:bCs/>
          <w:sz w:val="32"/>
          <w:szCs w:val="32"/>
          <w:lang w:val="en-US" w:eastAsia="zh-CN"/>
        </w:rPr>
        <w:t>.其他补助。</w:t>
      </w:r>
      <w:r>
        <w:rPr>
          <w:rFonts w:hint="eastAsia" w:ascii="CESI仿宋-GB2312" w:hAnsi="CESI仿宋-GB2312" w:eastAsia="CESI仿宋-GB2312" w:cs="CESI仿宋-GB2312"/>
          <w:sz w:val="32"/>
          <w:szCs w:val="32"/>
          <w:lang w:val="en-US" w:eastAsia="zh-CN"/>
        </w:rPr>
        <w:t>主要用于</w:t>
      </w:r>
      <w:r>
        <w:rPr>
          <w:rFonts w:hint="eastAsia" w:ascii="CESI仿宋-GB2312" w:hAnsi="CESI仿宋-GB2312" w:eastAsia="CESI仿宋-GB2312" w:cs="CESI仿宋-GB2312"/>
          <w:sz w:val="32"/>
          <w:szCs w:val="32"/>
        </w:rPr>
        <w:t>项目实施过程中资料印刷、制度建设、</w:t>
      </w:r>
      <w:r>
        <w:rPr>
          <w:rFonts w:hint="eastAsia" w:ascii="CESI仿宋-GB2312" w:hAnsi="CESI仿宋-GB2312" w:eastAsia="CESI仿宋-GB2312" w:cs="CESI仿宋-GB2312"/>
          <w:sz w:val="32"/>
          <w:szCs w:val="32"/>
          <w:lang w:eastAsia="zh-CN"/>
        </w:rPr>
        <w:t>宣传报道、绩效</w:t>
      </w:r>
      <w:r>
        <w:rPr>
          <w:rFonts w:hint="eastAsia" w:ascii="CESI仿宋-GB2312" w:hAnsi="CESI仿宋-GB2312" w:eastAsia="CESI仿宋-GB2312" w:cs="CESI仿宋-GB2312"/>
          <w:sz w:val="32"/>
          <w:szCs w:val="32"/>
        </w:rPr>
        <w:t>考评等相关费用。</w:t>
      </w:r>
      <w:r>
        <w:rPr>
          <w:rFonts w:hint="eastAsia" w:ascii="CESI仿宋-GB2312" w:hAnsi="CESI仿宋-GB2312" w:eastAsia="CESI仿宋-GB2312" w:cs="CESI仿宋-GB2312"/>
          <w:sz w:val="32"/>
          <w:szCs w:val="32"/>
          <w:lang w:eastAsia="zh-CN"/>
        </w:rPr>
        <w:t>该项支出不得超过项目资金总额的</w:t>
      </w:r>
      <w:r>
        <w:rPr>
          <w:rFonts w:hint="eastAsia" w:ascii="CESI仿宋-GB2312" w:hAnsi="CESI仿宋-GB2312" w:eastAsia="CESI仿宋-GB2312" w:cs="CESI仿宋-GB2312"/>
          <w:sz w:val="32"/>
          <w:szCs w:val="32"/>
          <w:lang w:val="en-US" w:eastAsia="zh-CN"/>
        </w:rPr>
        <w:t>5%</w:t>
      </w:r>
      <w:r>
        <w:rPr>
          <w:rFonts w:hint="eastAsia" w:ascii="CESI仿宋-GB2312" w:hAnsi="CESI仿宋-GB2312" w:eastAsia="CESI仿宋-GB2312" w:cs="CESI仿宋-GB2312"/>
          <w:sz w:val="32"/>
          <w:szCs w:val="32"/>
        </w:rPr>
        <w:t>。</w:t>
      </w:r>
    </w:p>
    <w:p>
      <w:pPr>
        <w:keepNext w:val="0"/>
        <w:keepLines w:val="0"/>
        <w:pageBreakBefore w:val="0"/>
        <w:widowControl w:val="0"/>
        <w:kinsoku/>
        <w:wordWrap/>
        <w:topLinePunct w:val="0"/>
        <w:autoSpaceDE/>
        <w:autoSpaceDN/>
        <w:bidi w:val="0"/>
        <w:adjustRightInd/>
        <w:snapToGrid/>
        <w:spacing w:line="640" w:lineRule="exact"/>
        <w:ind w:firstLine="645"/>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六、有关要求</w:t>
      </w:r>
    </w:p>
    <w:p>
      <w:pPr>
        <w:keepNext w:val="0"/>
        <w:keepLines w:val="0"/>
        <w:pageBreakBefore w:val="0"/>
        <w:widowControl w:val="0"/>
        <w:kinsoku/>
        <w:wordWrap/>
        <w:topLinePunct w:val="0"/>
        <w:autoSpaceDE/>
        <w:autoSpaceDN/>
        <w:bidi w:val="0"/>
        <w:adjustRightInd/>
        <w:snapToGrid/>
        <w:spacing w:line="640" w:lineRule="exact"/>
        <w:ind w:firstLine="630"/>
        <w:textAlignment w:val="auto"/>
        <w:rPr>
          <w:rFonts w:hint="eastAsia" w:ascii="CESI仿宋-GB2312" w:hAnsi="CESI仿宋-GB2312" w:eastAsia="CESI仿宋-GB2312" w:cs="CESI仿宋-GB2312"/>
          <w:sz w:val="32"/>
          <w:szCs w:val="32"/>
        </w:rPr>
      </w:pPr>
      <w:r>
        <w:rPr>
          <w:rFonts w:hint="eastAsia" w:ascii="楷体_GB2312" w:hAnsi="楷体_GB2312" w:eastAsia="楷体_GB2312" w:cs="楷体_GB2312"/>
          <w:sz w:val="32"/>
          <w:szCs w:val="32"/>
        </w:rPr>
        <w:t>（一）加强组织</w:t>
      </w:r>
      <w:r>
        <w:rPr>
          <w:rFonts w:hint="eastAsia" w:ascii="楷体_GB2312" w:hAnsi="楷体_GB2312" w:eastAsia="楷体_GB2312" w:cs="楷体_GB2312"/>
          <w:sz w:val="32"/>
          <w:szCs w:val="32"/>
          <w:lang w:eastAsia="zh-CN"/>
        </w:rPr>
        <w:t>领导</w:t>
      </w:r>
      <w:r>
        <w:rPr>
          <w:rFonts w:hint="eastAsia" w:ascii="楷体_GB2312" w:hAnsi="楷体_GB2312" w:eastAsia="楷体_GB2312" w:cs="楷体_GB2312"/>
          <w:sz w:val="32"/>
          <w:szCs w:val="32"/>
        </w:rPr>
        <w:t>。</w:t>
      </w:r>
      <w:r>
        <w:rPr>
          <w:rFonts w:hint="eastAsia" w:ascii="CESI仿宋-GB2312" w:hAnsi="CESI仿宋-GB2312" w:eastAsia="CESI仿宋-GB2312" w:cs="CESI仿宋-GB2312"/>
          <w:sz w:val="32"/>
          <w:szCs w:val="32"/>
        </w:rPr>
        <w:t>各地要</w:t>
      </w:r>
      <w:r>
        <w:rPr>
          <w:rFonts w:hint="eastAsia" w:ascii="CESI仿宋-GB2312" w:hAnsi="CESI仿宋-GB2312" w:eastAsia="CESI仿宋-GB2312" w:cs="CESI仿宋-GB2312"/>
          <w:sz w:val="32"/>
          <w:szCs w:val="32"/>
          <w:lang w:eastAsia="zh-CN"/>
        </w:rPr>
        <w:t>高度重视</w:t>
      </w:r>
      <w:r>
        <w:rPr>
          <w:rFonts w:hint="eastAsia" w:ascii="CESI仿宋-GB2312" w:hAnsi="CESI仿宋-GB2312" w:eastAsia="CESI仿宋-GB2312" w:cs="CESI仿宋-GB2312"/>
          <w:sz w:val="32"/>
          <w:szCs w:val="32"/>
        </w:rPr>
        <w:t>基层农技推广体系</w:t>
      </w:r>
      <w:r>
        <w:rPr>
          <w:rFonts w:hint="eastAsia" w:ascii="CESI仿宋-GB2312" w:hAnsi="CESI仿宋-GB2312" w:eastAsia="CESI仿宋-GB2312" w:cs="CESI仿宋-GB2312"/>
          <w:sz w:val="32"/>
          <w:szCs w:val="32"/>
          <w:lang w:eastAsia="zh-CN"/>
        </w:rPr>
        <w:t>改革与建设工作，</w:t>
      </w:r>
      <w:r>
        <w:rPr>
          <w:rFonts w:hint="eastAsia" w:ascii="CESI仿宋-GB2312" w:hAnsi="CESI仿宋-GB2312" w:eastAsia="CESI仿宋-GB2312" w:cs="CESI仿宋-GB2312"/>
          <w:sz w:val="32"/>
          <w:szCs w:val="32"/>
        </w:rPr>
        <w:t>充分认识</w:t>
      </w:r>
      <w:r>
        <w:rPr>
          <w:rFonts w:hint="eastAsia" w:ascii="CESI仿宋-GB2312" w:hAnsi="CESI仿宋-GB2312" w:eastAsia="CESI仿宋-GB2312" w:cs="CESI仿宋-GB2312"/>
          <w:sz w:val="32"/>
          <w:szCs w:val="32"/>
          <w:lang w:eastAsia="zh-CN"/>
        </w:rPr>
        <w:t>农技推广体系</w:t>
      </w:r>
      <w:r>
        <w:rPr>
          <w:rFonts w:hint="eastAsia" w:ascii="CESI仿宋-GB2312" w:hAnsi="CESI仿宋-GB2312" w:eastAsia="CESI仿宋-GB2312" w:cs="CESI仿宋-GB2312"/>
          <w:sz w:val="32"/>
          <w:szCs w:val="32"/>
        </w:rPr>
        <w:t>在促进粮油作物稳产增产、保障农产品质量安全、开展农业防灾减灾技术服务等方面的重要作用，</w:t>
      </w:r>
      <w:r>
        <w:rPr>
          <w:rFonts w:hint="eastAsia" w:ascii="CESI仿宋-GB2312" w:hAnsi="CESI仿宋-GB2312" w:eastAsia="CESI仿宋-GB2312" w:cs="CESI仿宋-GB2312"/>
          <w:sz w:val="32"/>
          <w:szCs w:val="32"/>
          <w:lang w:eastAsia="zh-CN"/>
        </w:rPr>
        <w:t>建立健全农技推广体系改革与建设领导小组，深入开展调查研究，</w:t>
      </w:r>
      <w:r>
        <w:rPr>
          <w:rFonts w:hint="eastAsia" w:ascii="CESI仿宋-GB2312" w:hAnsi="CESI仿宋-GB2312" w:eastAsia="CESI仿宋-GB2312" w:cs="CESI仿宋-GB2312"/>
          <w:sz w:val="32"/>
          <w:szCs w:val="32"/>
        </w:rPr>
        <w:t>制定针对性强、操作性好的实施方案，加强对项目实施的组织协调，推动相关政策衔接配套，定期开展项目调度，准确掌握执行进度，及时沟通解决实施中存在的问题和困难，强化公益性服务责任落实。</w:t>
      </w:r>
      <w:r>
        <w:rPr>
          <w:rFonts w:hint="eastAsia" w:ascii="CESI仿宋-GB2312" w:hAnsi="CESI仿宋-GB2312" w:eastAsia="CESI仿宋-GB2312" w:cs="CESI仿宋-GB2312"/>
          <w:sz w:val="32"/>
          <w:szCs w:val="32"/>
          <w:lang w:eastAsia="zh-CN"/>
        </w:rPr>
        <w:t>各县区农业农村部门农技推广</w:t>
      </w:r>
      <w:r>
        <w:rPr>
          <w:rFonts w:hint="eastAsia" w:ascii="CESI仿宋-GB2312" w:hAnsi="CESI仿宋-GB2312" w:eastAsia="CESI仿宋-GB2312" w:cs="CESI仿宋-GB2312"/>
          <w:sz w:val="32"/>
          <w:szCs w:val="32"/>
        </w:rPr>
        <w:t>项目实施</w:t>
      </w:r>
      <w:r>
        <w:rPr>
          <w:rFonts w:hint="eastAsia" w:ascii="CESI仿宋-GB2312" w:hAnsi="CESI仿宋-GB2312" w:eastAsia="CESI仿宋-GB2312" w:cs="CESI仿宋-GB2312"/>
          <w:color w:val="000000" w:themeColor="text1"/>
          <w:sz w:val="32"/>
          <w:szCs w:val="32"/>
          <w14:textFill>
            <w14:solidFill>
              <w14:schemeClr w14:val="tx1"/>
            </w14:solidFill>
          </w14:textFill>
        </w:rPr>
        <w:t>方案于</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8</w:t>
      </w:r>
      <w:r>
        <w:rPr>
          <w:rFonts w:hint="eastAsia" w:ascii="CESI仿宋-GB2312" w:hAnsi="CESI仿宋-GB2312" w:eastAsia="CESI仿宋-GB2312" w:cs="CESI仿宋-GB2312"/>
          <w:color w:val="000000" w:themeColor="text1"/>
          <w:sz w:val="32"/>
          <w:szCs w:val="32"/>
          <w14:textFill>
            <w14:solidFill>
              <w14:schemeClr w14:val="tx1"/>
            </w14:solidFill>
          </w14:textFill>
        </w:rPr>
        <w:t>月</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16</w:t>
      </w:r>
      <w:r>
        <w:rPr>
          <w:rFonts w:hint="eastAsia" w:ascii="CESI仿宋-GB2312" w:hAnsi="CESI仿宋-GB2312" w:eastAsia="CESI仿宋-GB2312" w:cs="CESI仿宋-GB2312"/>
          <w:color w:val="000000" w:themeColor="text1"/>
          <w:sz w:val="32"/>
          <w:szCs w:val="32"/>
          <w14:textFill>
            <w14:solidFill>
              <w14:schemeClr w14:val="tx1"/>
            </w14:solidFill>
          </w14:textFill>
        </w:rPr>
        <w:t>日前以正式文</w:t>
      </w:r>
      <w:r>
        <w:rPr>
          <w:rFonts w:hint="eastAsia" w:ascii="CESI仿宋-GB2312" w:hAnsi="CESI仿宋-GB2312" w:eastAsia="CESI仿宋-GB2312" w:cs="CESI仿宋-GB2312"/>
          <w:sz w:val="32"/>
          <w:szCs w:val="32"/>
        </w:rPr>
        <w:t>件报</w:t>
      </w:r>
      <w:r>
        <w:rPr>
          <w:rFonts w:hint="eastAsia" w:ascii="CESI仿宋-GB2312" w:hAnsi="CESI仿宋-GB2312" w:eastAsia="CESI仿宋-GB2312" w:cs="CESI仿宋-GB2312"/>
          <w:sz w:val="32"/>
          <w:szCs w:val="32"/>
          <w:lang w:eastAsia="zh-CN"/>
        </w:rPr>
        <w:t>市局科技教育与种业管理科</w:t>
      </w:r>
      <w:r>
        <w:rPr>
          <w:rFonts w:hint="eastAsia" w:ascii="CESI仿宋-GB2312" w:hAnsi="CESI仿宋-GB2312" w:eastAsia="CESI仿宋-GB2312" w:cs="CESI仿宋-GB2312"/>
          <w:sz w:val="32"/>
          <w:szCs w:val="32"/>
        </w:rPr>
        <w:t>备案</w:t>
      </w:r>
      <w:r>
        <w:rPr>
          <w:rFonts w:hint="eastAsia" w:ascii="CESI仿宋-GB2312" w:hAnsi="CESI仿宋-GB2312" w:eastAsia="CESI仿宋-GB2312" w:cs="CESI仿宋-GB2312"/>
          <w:sz w:val="32"/>
          <w:szCs w:val="32"/>
          <w:lang w:eastAsia="zh-CN"/>
        </w:rPr>
        <w:t>（一式两份）</w:t>
      </w:r>
      <w:r>
        <w:rPr>
          <w:rFonts w:hint="eastAsia" w:ascii="CESI仿宋-GB2312" w:hAnsi="CESI仿宋-GB2312" w:eastAsia="CESI仿宋-GB2312" w:cs="CESI仿宋-GB2312"/>
          <w:sz w:val="32"/>
          <w:szCs w:val="32"/>
        </w:rPr>
        <w:t>，电子文档随文报送</w:t>
      </w:r>
      <w:r>
        <w:rPr>
          <w:rFonts w:hint="eastAsia" w:ascii="CESI仿宋-GB2312" w:hAnsi="CESI仿宋-GB2312" w:eastAsia="CESI仿宋-GB2312" w:cs="CESI仿宋-GB2312"/>
          <w:sz w:val="32"/>
          <w:szCs w:val="32"/>
          <w:lang w:eastAsia="zh-CN"/>
        </w:rPr>
        <w:t>（邮箱：lykj99</w:t>
      </w:r>
      <w:r>
        <w:rPr>
          <w:rFonts w:hint="eastAsia" w:ascii="CESI仿宋-GB2312" w:hAnsi="CESI仿宋-GB2312" w:eastAsia="CESI仿宋-GB2312" w:cs="CESI仿宋-GB2312"/>
          <w:sz w:val="32"/>
          <w:szCs w:val="32"/>
          <w:lang w:val="en-US" w:eastAsia="zh-CN"/>
        </w:rPr>
        <w:t>@126.com</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30"/>
        <w:textAlignment w:val="auto"/>
        <w:rPr>
          <w:rFonts w:hint="eastAsia" w:ascii="CESI仿宋-GB2312" w:hAnsi="CESI仿宋-GB2312" w:eastAsia="CESI仿宋-GB2312" w:cs="CESI仿宋-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加强绩效管理</w:t>
      </w:r>
      <w:r>
        <w:rPr>
          <w:rFonts w:hint="eastAsia" w:ascii="楷体_GB2312" w:hAnsi="楷体_GB2312" w:eastAsia="楷体_GB2312" w:cs="楷体_GB2312"/>
          <w:sz w:val="32"/>
          <w:szCs w:val="32"/>
        </w:rPr>
        <w:t>。</w:t>
      </w:r>
      <w:r>
        <w:rPr>
          <w:rFonts w:hint="eastAsia" w:ascii="CESI仿宋-GB2312" w:hAnsi="CESI仿宋-GB2312" w:eastAsia="CESI仿宋-GB2312" w:cs="CESI仿宋-GB2312"/>
          <w:sz w:val="32"/>
          <w:szCs w:val="32"/>
        </w:rPr>
        <w:t>各地要积极通过耕地保护和粮食安全党政同责考核</w:t>
      </w:r>
      <w:r>
        <w:rPr>
          <w:rFonts w:hint="eastAsia" w:ascii="CESI仿宋-GB2312" w:hAnsi="CESI仿宋-GB2312" w:eastAsia="CESI仿宋-GB2312" w:cs="CESI仿宋-GB2312"/>
          <w:sz w:val="32"/>
          <w:szCs w:val="32"/>
          <w:lang w:eastAsia="zh-CN"/>
        </w:rPr>
        <w:t>、乡村振兴实绩考核</w:t>
      </w:r>
      <w:r>
        <w:rPr>
          <w:rFonts w:hint="eastAsia" w:ascii="CESI仿宋-GB2312" w:hAnsi="CESI仿宋-GB2312" w:eastAsia="CESI仿宋-GB2312" w:cs="CESI仿宋-GB2312"/>
          <w:sz w:val="32"/>
          <w:szCs w:val="32"/>
        </w:rPr>
        <w:t>等推进任务落实，稳定基层农技推广队伍，提升农技推广服务效能。各项目实施单位</w:t>
      </w:r>
      <w:r>
        <w:rPr>
          <w:rFonts w:hint="eastAsia" w:ascii="CESI仿宋-GB2312" w:hAnsi="CESI仿宋-GB2312" w:eastAsia="CESI仿宋-GB2312" w:cs="CESI仿宋-GB2312"/>
          <w:sz w:val="32"/>
          <w:szCs w:val="32"/>
          <w:lang w:eastAsia="zh-CN"/>
        </w:rPr>
        <w:t>要</w:t>
      </w:r>
      <w:r>
        <w:rPr>
          <w:rFonts w:hint="eastAsia" w:ascii="CESI仿宋-GB2312" w:hAnsi="CESI仿宋-GB2312" w:eastAsia="CESI仿宋-GB2312" w:cs="CESI仿宋-GB2312"/>
          <w:sz w:val="32"/>
          <w:szCs w:val="32"/>
        </w:rPr>
        <w:t>按照《财政部 农业农村部关于印发农业相关转移支付资金管理办法的通知》（财农〔2023〕11号）要求，规范资金使用，做好补助对象、资金安排等信息公开公示工作，广泛接受社会监督。建立健全工作月历制度，强化日常动态管理，紧盯执行进度，把政策目标实现情况、任务清单完成情况、资金使用管理情况等纳入绩效管理指标体系，</w:t>
      </w:r>
      <w:r>
        <w:rPr>
          <w:rFonts w:hint="eastAsia" w:ascii="CESI仿宋-GB2312" w:hAnsi="CESI仿宋-GB2312" w:eastAsia="CESI仿宋-GB2312" w:cs="CESI仿宋-GB2312"/>
          <w:sz w:val="32"/>
          <w:szCs w:val="32"/>
          <w:lang w:eastAsia="zh-CN"/>
        </w:rPr>
        <w:t>严格绩效评价，</w:t>
      </w:r>
      <w:r>
        <w:rPr>
          <w:rFonts w:hint="eastAsia" w:ascii="CESI仿宋-GB2312" w:hAnsi="CESI仿宋-GB2312" w:eastAsia="CESI仿宋-GB2312" w:cs="CESI仿宋-GB2312"/>
          <w:sz w:val="32"/>
          <w:szCs w:val="32"/>
        </w:rPr>
        <w:t>绩效评价结果与下年度项目预算安排挂钩。</w:t>
      </w:r>
    </w:p>
    <w:p>
      <w:pPr>
        <w:keepNext w:val="0"/>
        <w:keepLines w:val="0"/>
        <w:pageBreakBefore w:val="0"/>
        <w:widowControl w:val="0"/>
        <w:kinsoku/>
        <w:wordWrap/>
        <w:overflowPunct/>
        <w:topLinePunct w:val="0"/>
        <w:autoSpaceDE/>
        <w:autoSpaceDN/>
        <w:bidi w:val="0"/>
        <w:adjustRightInd/>
        <w:snapToGrid/>
        <w:spacing w:line="640" w:lineRule="exact"/>
        <w:ind w:firstLine="630"/>
        <w:textAlignment w:val="auto"/>
        <w:rPr>
          <w:rFonts w:hint="eastAsia" w:ascii="CESI仿宋-GB2312" w:hAnsi="CESI仿宋-GB2312" w:eastAsia="CESI仿宋-GB2312" w:cs="CESI仿宋-GB2312"/>
          <w:sz w:val="32"/>
          <w:szCs w:val="32"/>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加强</w:t>
      </w:r>
      <w:r>
        <w:rPr>
          <w:rFonts w:hint="eastAsia" w:ascii="楷体_GB2312" w:hAnsi="楷体_GB2312" w:eastAsia="楷体_GB2312" w:cs="楷体_GB2312"/>
          <w:sz w:val="32"/>
          <w:szCs w:val="32"/>
        </w:rPr>
        <w:t>总结宣传。</w:t>
      </w:r>
      <w:r>
        <w:rPr>
          <w:rFonts w:hint="eastAsia" w:ascii="CESI仿宋-GB2312" w:hAnsi="CESI仿宋-GB2312" w:eastAsia="CESI仿宋-GB2312" w:cs="CESI仿宋-GB2312"/>
          <w:sz w:val="32"/>
          <w:szCs w:val="32"/>
        </w:rPr>
        <w:t>各地农业农村部门要认真总结</w:t>
      </w:r>
      <w:r>
        <w:rPr>
          <w:rFonts w:hint="eastAsia" w:ascii="CESI仿宋-GB2312" w:hAnsi="CESI仿宋-GB2312" w:eastAsia="CESI仿宋-GB2312" w:cs="CESI仿宋-GB2312"/>
          <w:sz w:val="32"/>
          <w:szCs w:val="32"/>
          <w:lang w:eastAsia="zh-CN"/>
        </w:rPr>
        <w:t>项目实施过程中的经验</w:t>
      </w:r>
      <w:r>
        <w:rPr>
          <w:rFonts w:hint="eastAsia" w:ascii="CESI仿宋-GB2312" w:hAnsi="CESI仿宋-GB2312" w:eastAsia="CESI仿宋-GB2312" w:cs="CESI仿宋-GB2312"/>
          <w:sz w:val="32"/>
          <w:szCs w:val="32"/>
        </w:rPr>
        <w:t>做法，积极开展农业技术推广法实施30周年普法宣传等活动，发掘宣传一批在稳产保供、应急救灾中涌现的经验模式、典型人物和先进事迹。用好广播、电视、报纸等传统媒体和直播、短视频、长图等新媒体形式加强宣传，为农技推广工作营造良好氛围。</w:t>
      </w:r>
    </w:p>
    <w:p>
      <w:pPr>
        <w:keepNext w:val="0"/>
        <w:keepLines w:val="0"/>
        <w:pageBreakBefore w:val="0"/>
        <w:kinsoku/>
        <w:wordWrap/>
        <w:topLinePunct w:val="0"/>
        <w:autoSpaceDE/>
        <w:autoSpaceDN/>
        <w:bidi w:val="0"/>
        <w:spacing w:line="608" w:lineRule="exact"/>
        <w:ind w:firstLine="630"/>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8" w:lineRule="exact"/>
        <w:ind w:left="1598" w:leftChars="304" w:hanging="960" w:hangingChars="300"/>
        <w:textAlignment w:val="auto"/>
        <w:rPr>
          <w:rFonts w:hint="eastAsia" w:ascii="CESI仿宋-GB2312" w:hAnsi="CESI仿宋-GB2312" w:eastAsia="CESI仿宋-GB2312" w:cs="CESI仿宋-GB2312"/>
          <w:b w:val="0"/>
          <w:bCs w:val="0"/>
          <w:snapToGrid w:val="0"/>
          <w:kern w:val="0"/>
          <w:sz w:val="32"/>
          <w:szCs w:val="32"/>
        </w:rPr>
      </w:pPr>
      <w:r>
        <w:rPr>
          <w:rFonts w:hint="eastAsia" w:ascii="CESI仿宋-GB2312" w:hAnsi="CESI仿宋-GB2312" w:eastAsia="CESI仿宋-GB2312" w:cs="CESI仿宋-GB2312"/>
          <w:sz w:val="32"/>
          <w:szCs w:val="32"/>
          <w:lang w:eastAsia="zh-CN"/>
        </w:rPr>
        <w:t>附件：</w:t>
      </w:r>
      <w:r>
        <w:rPr>
          <w:rFonts w:hint="eastAsia" w:ascii="CESI仿宋-GB2312" w:hAnsi="CESI仿宋-GB2312" w:eastAsia="CESI仿宋-GB2312" w:cs="CESI仿宋-GB2312"/>
          <w:b w:val="0"/>
          <w:bCs w:val="0"/>
          <w:sz w:val="32"/>
          <w:szCs w:val="32"/>
          <w:lang w:val="en-US" w:eastAsia="zh-CN"/>
        </w:rPr>
        <w:t>1.</w:t>
      </w:r>
      <w:r>
        <w:rPr>
          <w:rFonts w:hint="eastAsia" w:ascii="CESI仿宋-GB2312" w:hAnsi="CESI仿宋-GB2312" w:eastAsia="CESI仿宋-GB2312" w:cs="CESI仿宋-GB2312"/>
          <w:b w:val="0"/>
          <w:bCs w:val="0"/>
          <w:snapToGrid w:val="0"/>
          <w:kern w:val="0"/>
          <w:sz w:val="32"/>
          <w:szCs w:val="32"/>
        </w:rPr>
        <w:t>洛阳市202</w:t>
      </w:r>
      <w:r>
        <w:rPr>
          <w:rFonts w:hint="eastAsia" w:ascii="CESI仿宋-GB2312" w:hAnsi="CESI仿宋-GB2312" w:eastAsia="CESI仿宋-GB2312" w:cs="CESI仿宋-GB2312"/>
          <w:b w:val="0"/>
          <w:bCs w:val="0"/>
          <w:snapToGrid w:val="0"/>
          <w:kern w:val="0"/>
          <w:sz w:val="32"/>
          <w:szCs w:val="32"/>
          <w:lang w:val="en-US" w:eastAsia="zh-CN"/>
        </w:rPr>
        <w:t>3</w:t>
      </w:r>
      <w:r>
        <w:rPr>
          <w:rFonts w:hint="eastAsia" w:ascii="CESI仿宋-GB2312" w:hAnsi="CESI仿宋-GB2312" w:eastAsia="CESI仿宋-GB2312" w:cs="CESI仿宋-GB2312"/>
          <w:b w:val="0"/>
          <w:bCs w:val="0"/>
          <w:snapToGrid w:val="0"/>
          <w:kern w:val="0"/>
          <w:sz w:val="32"/>
          <w:szCs w:val="32"/>
        </w:rPr>
        <w:t>年基层农技推广体系改革与建设项目任务清单</w:t>
      </w:r>
    </w:p>
    <w:p>
      <w:pPr>
        <w:keepNext w:val="0"/>
        <w:keepLines w:val="0"/>
        <w:pageBreakBefore w:val="0"/>
        <w:widowControl w:val="0"/>
        <w:kinsoku/>
        <w:wordWrap/>
        <w:overflowPunct/>
        <w:topLinePunct w:val="0"/>
        <w:autoSpaceDE/>
        <w:autoSpaceDN/>
        <w:bidi w:val="0"/>
        <w:adjustRightInd/>
        <w:snapToGrid/>
        <w:spacing w:line="608" w:lineRule="exact"/>
        <w:ind w:left="1596" w:leftChars="760" w:firstLine="0" w:firstLineChars="0"/>
        <w:textAlignment w:val="auto"/>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napToGrid w:val="0"/>
          <w:kern w:val="0"/>
          <w:sz w:val="32"/>
          <w:szCs w:val="32"/>
          <w:lang w:val="en-US" w:eastAsia="zh-CN"/>
        </w:rPr>
        <w:t>2.</w:t>
      </w:r>
      <w:r>
        <w:rPr>
          <w:rFonts w:hint="eastAsia" w:ascii="CESI仿宋-GB2312" w:hAnsi="CESI仿宋-GB2312" w:eastAsia="CESI仿宋-GB2312" w:cs="CESI仿宋-GB2312"/>
          <w:b w:val="0"/>
          <w:bCs w:val="0"/>
          <w:sz w:val="32"/>
          <w:szCs w:val="32"/>
          <w:lang w:val="en-US" w:eastAsia="zh-CN"/>
        </w:rPr>
        <w:t>河南省2023年基层农技推广体系改革与建设项目绩效考评指标体系</w:t>
      </w:r>
    </w:p>
    <w:p>
      <w:pPr>
        <w:keepNext w:val="0"/>
        <w:keepLines w:val="0"/>
        <w:pageBreakBefore w:val="0"/>
        <w:widowControl w:val="0"/>
        <w:numPr>
          <w:ilvl w:val="0"/>
          <w:numId w:val="0"/>
        </w:numPr>
        <w:kinsoku/>
        <w:wordWrap/>
        <w:overflowPunct/>
        <w:topLinePunct w:val="0"/>
        <w:autoSpaceDE/>
        <w:autoSpaceDN/>
        <w:bidi w:val="0"/>
        <w:adjustRightInd/>
        <w:snapToGrid/>
        <w:spacing w:line="608" w:lineRule="exact"/>
        <w:ind w:left="1596" w:leftChars="760" w:firstLine="0" w:firstLineChars="0"/>
        <w:textAlignment w:val="auto"/>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3.2023年基层农技推广体系改革与建设补助项目线上评估评分标准</w:t>
      </w:r>
    </w:p>
    <w:p>
      <w:pPr>
        <w:keepNext w:val="0"/>
        <w:keepLines w:val="0"/>
        <w:pageBreakBefore w:val="0"/>
        <w:widowControl w:val="0"/>
        <w:numPr>
          <w:ilvl w:val="0"/>
          <w:numId w:val="0"/>
        </w:numPr>
        <w:kinsoku/>
        <w:wordWrap/>
        <w:overflowPunct/>
        <w:topLinePunct w:val="0"/>
        <w:autoSpaceDE/>
        <w:autoSpaceDN/>
        <w:bidi w:val="0"/>
        <w:adjustRightInd/>
        <w:snapToGrid/>
        <w:spacing w:line="608" w:lineRule="exact"/>
        <w:ind w:left="1596" w:leftChars="760" w:firstLine="0" w:firstLineChars="0"/>
        <w:textAlignment w:val="auto"/>
        <w:rPr>
          <w:rFonts w:hint="eastAsia" w:ascii="仿宋_GB2312" w:hAnsi="仿宋_GB2312" w:eastAsia="仿宋_GB2312" w:cs="仿宋_GB2312"/>
          <w:b w:val="0"/>
          <w:bCs w:val="0"/>
          <w:sz w:val="32"/>
          <w:szCs w:val="32"/>
        </w:rPr>
      </w:pPr>
      <w:r>
        <w:rPr>
          <w:rFonts w:hint="eastAsia" w:ascii="CESI仿宋-GB2312" w:hAnsi="CESI仿宋-GB2312" w:eastAsia="CESI仿宋-GB2312" w:cs="CESI仿宋-GB2312"/>
          <w:b w:val="0"/>
          <w:bCs w:val="0"/>
          <w:sz w:val="32"/>
          <w:szCs w:val="32"/>
          <w:lang w:val="en-US" w:eastAsia="zh-CN"/>
        </w:rPr>
        <w:t>4.</w:t>
      </w:r>
      <w:r>
        <w:rPr>
          <w:rFonts w:hint="eastAsia" w:ascii="CESI仿宋-GB2312" w:hAnsi="CESI仿宋-GB2312" w:eastAsia="CESI仿宋-GB2312" w:cs="CESI仿宋-GB2312"/>
          <w:b w:val="0"/>
          <w:bCs w:val="0"/>
          <w:sz w:val="32"/>
          <w:szCs w:val="32"/>
        </w:rPr>
        <w:t>2023年基层农技推广体系改革与建设项目农业科技示范展示基地标牌样式及要求</w:t>
      </w:r>
    </w:p>
    <w:p>
      <w:pPr>
        <w:keepNext w:val="0"/>
        <w:keepLines w:val="0"/>
        <w:pageBreakBefore w:val="0"/>
        <w:kinsoku/>
        <w:wordWrap/>
        <w:overflowPunct w:val="0"/>
        <w:topLinePunct w:val="0"/>
        <w:autoSpaceDE/>
        <w:autoSpaceDN/>
        <w:bidi w:val="0"/>
        <w:spacing w:line="608" w:lineRule="exact"/>
        <w:rPr>
          <w:rFonts w:ascii="方正小标宋简体" w:hAnsi="华文中宋" w:eastAsia="方正小标宋简体" w:cs="Times New Roman"/>
          <w:snapToGrid w:val="0"/>
          <w:kern w:val="0"/>
          <w:sz w:val="44"/>
          <w:szCs w:val="44"/>
        </w:rPr>
      </w:pPr>
    </w:p>
    <w:p>
      <w:pPr>
        <w:pStyle w:val="3"/>
        <w:keepNext w:val="0"/>
        <w:keepLines w:val="0"/>
        <w:pageBreakBefore w:val="0"/>
        <w:kinsoku/>
        <w:wordWrap/>
        <w:overflowPunct w:val="0"/>
        <w:topLinePunct w:val="0"/>
        <w:autoSpaceDE/>
        <w:autoSpaceDN/>
        <w:bidi w:val="0"/>
        <w:spacing w:after="0" w:line="608" w:lineRule="exact"/>
        <w:ind w:left="1470" w:leftChars="0" w:right="1470" w:rightChars="0"/>
        <w:rPr>
          <w:rFonts w:ascii="Times New Roman" w:hAnsi="Times New Roman" w:eastAsia="方正仿宋简体" w:cs="Times New Roman"/>
          <w:snapToGrid w:val="0"/>
          <w:kern w:val="0"/>
          <w:sz w:val="44"/>
          <w:szCs w:val="44"/>
        </w:rPr>
      </w:pPr>
    </w:p>
    <w:p>
      <w:pPr>
        <w:keepNext w:val="0"/>
        <w:keepLines w:val="0"/>
        <w:pageBreakBefore w:val="0"/>
        <w:kinsoku/>
        <w:wordWrap/>
        <w:topLinePunct w:val="0"/>
        <w:autoSpaceDE/>
        <w:autoSpaceDN/>
        <w:bidi w:val="0"/>
        <w:spacing w:line="608" w:lineRule="exact"/>
        <w:rPr>
          <w:rFonts w:hint="eastAsia" w:ascii="仿宋_GB2312" w:eastAsia="仿宋_GB2312" w:cs="Times New Roman"/>
          <w:sz w:val="32"/>
          <w:szCs w:val="32"/>
          <w:lang w:eastAsia="zh-CN"/>
        </w:rPr>
      </w:pPr>
    </w:p>
    <w:p>
      <w:pPr>
        <w:keepNext w:val="0"/>
        <w:keepLines w:val="0"/>
        <w:pageBreakBefore w:val="0"/>
        <w:kinsoku/>
        <w:wordWrap/>
        <w:topLinePunct w:val="0"/>
        <w:autoSpaceDE/>
        <w:autoSpaceDN/>
        <w:bidi w:val="0"/>
        <w:spacing w:line="608" w:lineRule="exact"/>
        <w:rPr>
          <w:rFonts w:hint="eastAsia" w:ascii="仿宋_GB2312" w:eastAsia="仿宋_GB2312" w:cs="Times New Roman"/>
          <w:sz w:val="32"/>
          <w:szCs w:val="32"/>
          <w:lang w:eastAsia="zh-CN"/>
        </w:rPr>
      </w:pPr>
    </w:p>
    <w:p>
      <w:pPr>
        <w:keepNext w:val="0"/>
        <w:keepLines w:val="0"/>
        <w:pageBreakBefore w:val="0"/>
        <w:kinsoku/>
        <w:wordWrap/>
        <w:topLinePunct w:val="0"/>
        <w:autoSpaceDE/>
        <w:autoSpaceDN/>
        <w:bidi w:val="0"/>
        <w:spacing w:line="608" w:lineRule="exact"/>
        <w:rPr>
          <w:rFonts w:hint="eastAsia" w:ascii="仿宋_GB2312" w:eastAsia="仿宋_GB2312" w:cs="Times New Roman"/>
          <w:sz w:val="32"/>
          <w:szCs w:val="32"/>
          <w:lang w:eastAsia="zh-CN"/>
        </w:rPr>
      </w:pPr>
    </w:p>
    <w:p>
      <w:pPr>
        <w:keepNext w:val="0"/>
        <w:keepLines w:val="0"/>
        <w:pageBreakBefore w:val="0"/>
        <w:kinsoku/>
        <w:wordWrap/>
        <w:topLinePunct w:val="0"/>
        <w:autoSpaceDE/>
        <w:autoSpaceDN/>
        <w:bidi w:val="0"/>
        <w:spacing w:line="608" w:lineRule="exact"/>
        <w:rPr>
          <w:rFonts w:hint="eastAsia" w:ascii="仿宋_GB2312" w:eastAsia="仿宋_GB2312" w:cs="Times New Roman"/>
          <w:sz w:val="32"/>
          <w:szCs w:val="32"/>
          <w:lang w:eastAsia="zh-CN"/>
        </w:rPr>
      </w:pPr>
    </w:p>
    <w:p>
      <w:pPr>
        <w:keepNext w:val="0"/>
        <w:keepLines w:val="0"/>
        <w:pageBreakBefore w:val="0"/>
        <w:kinsoku/>
        <w:wordWrap/>
        <w:topLinePunct w:val="0"/>
        <w:autoSpaceDE/>
        <w:autoSpaceDN/>
        <w:bidi w:val="0"/>
        <w:spacing w:line="608" w:lineRule="exact"/>
        <w:rPr>
          <w:rFonts w:hint="eastAsia" w:ascii="仿宋_GB2312" w:eastAsia="仿宋_GB2312" w:cs="Times New Roman"/>
          <w:sz w:val="32"/>
          <w:szCs w:val="32"/>
          <w:lang w:eastAsia="zh-CN"/>
        </w:rPr>
      </w:pPr>
    </w:p>
    <w:p>
      <w:pPr>
        <w:keepNext w:val="0"/>
        <w:keepLines w:val="0"/>
        <w:pageBreakBefore w:val="0"/>
        <w:kinsoku/>
        <w:wordWrap/>
        <w:topLinePunct w:val="0"/>
        <w:autoSpaceDE/>
        <w:autoSpaceDN/>
        <w:bidi w:val="0"/>
        <w:spacing w:line="608" w:lineRule="exact"/>
        <w:rPr>
          <w:rFonts w:hint="eastAsia" w:ascii="仿宋_GB2312" w:eastAsia="仿宋_GB2312" w:cs="Times New Roman"/>
          <w:sz w:val="32"/>
          <w:szCs w:val="32"/>
          <w:lang w:eastAsia="zh-CN"/>
        </w:rPr>
      </w:pPr>
    </w:p>
    <w:p>
      <w:pPr>
        <w:pStyle w:val="2"/>
        <w:keepNext w:val="0"/>
        <w:keepLines w:val="0"/>
        <w:pageBreakBefore w:val="0"/>
        <w:kinsoku/>
        <w:wordWrap/>
        <w:topLinePunct w:val="0"/>
        <w:autoSpaceDE/>
        <w:autoSpaceDN/>
        <w:bidi w:val="0"/>
        <w:spacing w:line="608" w:lineRule="exact"/>
        <w:rPr>
          <w:rFonts w:hint="eastAsia" w:ascii="仿宋_GB2312" w:eastAsia="仿宋_GB2312" w:cs="Times New Roman"/>
          <w:sz w:val="32"/>
          <w:szCs w:val="32"/>
          <w:lang w:eastAsia="zh-CN"/>
        </w:rPr>
      </w:pPr>
    </w:p>
    <w:p>
      <w:pPr>
        <w:keepNext w:val="0"/>
        <w:keepLines w:val="0"/>
        <w:pageBreakBefore w:val="0"/>
        <w:kinsoku/>
        <w:wordWrap/>
        <w:topLinePunct w:val="0"/>
        <w:autoSpaceDE/>
        <w:autoSpaceDN/>
        <w:bidi w:val="0"/>
        <w:spacing w:line="608" w:lineRule="exact"/>
        <w:rPr>
          <w:rFonts w:hint="eastAsia" w:ascii="仿宋_GB2312" w:eastAsia="仿宋_GB2312" w:cs="Times New Roman"/>
          <w:sz w:val="32"/>
          <w:szCs w:val="32"/>
          <w:lang w:eastAsia="zh-CN"/>
        </w:rPr>
      </w:pPr>
    </w:p>
    <w:p>
      <w:pPr>
        <w:pStyle w:val="2"/>
        <w:keepNext w:val="0"/>
        <w:keepLines w:val="0"/>
        <w:pageBreakBefore w:val="0"/>
        <w:kinsoku/>
        <w:wordWrap/>
        <w:topLinePunct w:val="0"/>
        <w:autoSpaceDE/>
        <w:autoSpaceDN/>
        <w:bidi w:val="0"/>
        <w:spacing w:line="608" w:lineRule="exact"/>
        <w:rPr>
          <w:rFonts w:hint="eastAsia" w:ascii="仿宋_GB2312" w:eastAsia="仿宋_GB2312" w:cs="Times New Roman"/>
          <w:sz w:val="32"/>
          <w:szCs w:val="32"/>
          <w:lang w:eastAsia="zh-CN"/>
        </w:rPr>
      </w:pPr>
    </w:p>
    <w:p>
      <w:pPr>
        <w:pStyle w:val="2"/>
        <w:keepNext w:val="0"/>
        <w:keepLines w:val="0"/>
        <w:pageBreakBefore w:val="0"/>
        <w:kinsoku/>
        <w:wordWrap/>
        <w:topLinePunct w:val="0"/>
        <w:autoSpaceDE/>
        <w:autoSpaceDN/>
        <w:bidi w:val="0"/>
        <w:spacing w:line="608" w:lineRule="exact"/>
        <w:ind w:left="0" w:leftChars="0" w:firstLine="0" w:firstLineChars="0"/>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附件1</w:t>
      </w:r>
    </w:p>
    <w:p>
      <w:pPr>
        <w:pStyle w:val="3"/>
        <w:keepNext w:val="0"/>
        <w:keepLines w:val="0"/>
        <w:pageBreakBefore w:val="0"/>
        <w:kinsoku/>
        <w:wordWrap/>
        <w:overflowPunct w:val="0"/>
        <w:topLinePunct w:val="0"/>
        <w:autoSpaceDE/>
        <w:autoSpaceDN/>
        <w:bidi w:val="0"/>
        <w:spacing w:after="0" w:line="608" w:lineRule="exact"/>
        <w:ind w:left="0" w:leftChars="0" w:right="0" w:rightChars="0"/>
        <w:jc w:val="center"/>
        <w:rPr>
          <w:rFonts w:hint="eastAsia" w:ascii="宋体" w:hAnsi="宋体" w:eastAsia="宋体" w:cs="宋体"/>
          <w:b/>
          <w:bCs/>
          <w:snapToGrid w:val="0"/>
          <w:kern w:val="0"/>
          <w:sz w:val="44"/>
          <w:szCs w:val="44"/>
        </w:rPr>
      </w:pPr>
      <w:r>
        <w:rPr>
          <w:rFonts w:hint="eastAsia" w:ascii="宋体" w:hAnsi="宋体" w:eastAsia="宋体" w:cs="宋体"/>
          <w:b/>
          <w:bCs/>
          <w:snapToGrid w:val="0"/>
          <w:kern w:val="0"/>
          <w:sz w:val="44"/>
          <w:szCs w:val="44"/>
        </w:rPr>
        <w:t>洛阳市202</w:t>
      </w:r>
      <w:r>
        <w:rPr>
          <w:rFonts w:hint="eastAsia" w:ascii="宋体" w:hAnsi="宋体" w:eastAsia="宋体" w:cs="宋体"/>
          <w:b/>
          <w:bCs/>
          <w:snapToGrid w:val="0"/>
          <w:kern w:val="0"/>
          <w:sz w:val="44"/>
          <w:szCs w:val="44"/>
          <w:lang w:val="en-US" w:eastAsia="zh-CN"/>
        </w:rPr>
        <w:t>3</w:t>
      </w:r>
      <w:r>
        <w:rPr>
          <w:rFonts w:hint="eastAsia" w:ascii="宋体" w:hAnsi="宋体" w:eastAsia="宋体" w:cs="宋体"/>
          <w:b/>
          <w:bCs/>
          <w:snapToGrid w:val="0"/>
          <w:kern w:val="0"/>
          <w:sz w:val="44"/>
          <w:szCs w:val="44"/>
        </w:rPr>
        <w:t>年基层农技推广体系改革与建设</w:t>
      </w:r>
    </w:p>
    <w:p>
      <w:pPr>
        <w:pStyle w:val="3"/>
        <w:keepNext w:val="0"/>
        <w:keepLines w:val="0"/>
        <w:pageBreakBefore w:val="0"/>
        <w:kinsoku/>
        <w:wordWrap/>
        <w:overflowPunct w:val="0"/>
        <w:topLinePunct w:val="0"/>
        <w:autoSpaceDE/>
        <w:autoSpaceDN/>
        <w:bidi w:val="0"/>
        <w:spacing w:after="0" w:line="608" w:lineRule="exact"/>
        <w:ind w:left="0" w:leftChars="0" w:right="0" w:rightChars="0"/>
        <w:jc w:val="center"/>
        <w:rPr>
          <w:rFonts w:hint="eastAsia" w:ascii="宋体" w:hAnsi="宋体" w:eastAsia="宋体" w:cs="宋体"/>
          <w:b/>
          <w:bCs/>
          <w:snapToGrid w:val="0"/>
          <w:kern w:val="0"/>
          <w:sz w:val="44"/>
          <w:szCs w:val="44"/>
        </w:rPr>
      </w:pPr>
      <w:r>
        <w:rPr>
          <w:rFonts w:hint="eastAsia" w:ascii="宋体" w:hAnsi="宋体" w:eastAsia="宋体" w:cs="宋体"/>
          <w:b/>
          <w:bCs/>
          <w:snapToGrid w:val="0"/>
          <w:kern w:val="0"/>
          <w:sz w:val="44"/>
          <w:szCs w:val="44"/>
        </w:rPr>
        <w:t>项目任务清单</w:t>
      </w:r>
    </w:p>
    <w:tbl>
      <w:tblPr>
        <w:tblStyle w:val="6"/>
        <w:tblW w:w="94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7"/>
        <w:gridCol w:w="1047"/>
        <w:gridCol w:w="1047"/>
        <w:gridCol w:w="1047"/>
        <w:gridCol w:w="1047"/>
        <w:gridCol w:w="1060"/>
        <w:gridCol w:w="1047"/>
        <w:gridCol w:w="1047"/>
        <w:gridCol w:w="1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1047"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编号</w:t>
            </w:r>
          </w:p>
        </w:tc>
        <w:tc>
          <w:tcPr>
            <w:tcW w:w="1047" w:type="dxa"/>
            <w:vMerge w:val="restar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项目县</w:t>
            </w:r>
          </w:p>
        </w:tc>
        <w:tc>
          <w:tcPr>
            <w:tcW w:w="4201" w:type="dxa"/>
            <w:gridSpan w:val="4"/>
            <w:tcBorders>
              <w:top w:val="single" w:color="000000" w:sz="8"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人员培训数（名）</w:t>
            </w:r>
          </w:p>
        </w:tc>
        <w:tc>
          <w:tcPr>
            <w:tcW w:w="104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基地建设数（个）</w:t>
            </w:r>
          </w:p>
        </w:tc>
        <w:tc>
          <w:tcPr>
            <w:tcW w:w="104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主体培育数（个）</w:t>
            </w:r>
          </w:p>
        </w:tc>
        <w:tc>
          <w:tcPr>
            <w:tcW w:w="104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特聘农技人员数（名）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trPr>
        <w:tc>
          <w:tcPr>
            <w:tcW w:w="1047"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p>
        </w:tc>
        <w:tc>
          <w:tcPr>
            <w:tcW w:w="1047"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p>
        </w:tc>
        <w:tc>
          <w:tcPr>
            <w:tcW w:w="1047" w:type="dxa"/>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种植</w:t>
            </w:r>
          </w:p>
        </w:tc>
        <w:tc>
          <w:tcPr>
            <w:tcW w:w="1047"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畜牧</w:t>
            </w:r>
          </w:p>
        </w:tc>
        <w:tc>
          <w:tcPr>
            <w:tcW w:w="1047"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渔业</w:t>
            </w:r>
          </w:p>
        </w:tc>
        <w:tc>
          <w:tcPr>
            <w:tcW w:w="106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农机</w:t>
            </w:r>
          </w:p>
        </w:tc>
        <w:tc>
          <w:tcPr>
            <w:tcW w:w="104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p>
        </w:tc>
        <w:tc>
          <w:tcPr>
            <w:tcW w:w="104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p>
        </w:tc>
        <w:tc>
          <w:tcPr>
            <w:tcW w:w="104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47"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1</w:t>
            </w:r>
          </w:p>
        </w:tc>
        <w:tc>
          <w:tcPr>
            <w:tcW w:w="1047"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洛龙区</w:t>
            </w:r>
          </w:p>
        </w:tc>
        <w:tc>
          <w:tcPr>
            <w:tcW w:w="1047"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5</w:t>
            </w:r>
          </w:p>
        </w:tc>
        <w:tc>
          <w:tcPr>
            <w:tcW w:w="1047"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p>
        </w:tc>
        <w:tc>
          <w:tcPr>
            <w:tcW w:w="1047"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p>
        </w:tc>
        <w:tc>
          <w:tcPr>
            <w:tcW w:w="106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p>
        </w:tc>
        <w:tc>
          <w:tcPr>
            <w:tcW w:w="1047"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2</w:t>
            </w:r>
          </w:p>
        </w:tc>
        <w:tc>
          <w:tcPr>
            <w:tcW w:w="1047"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15</w:t>
            </w:r>
          </w:p>
        </w:tc>
        <w:tc>
          <w:tcPr>
            <w:tcW w:w="1047"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trPr>
        <w:tc>
          <w:tcPr>
            <w:tcW w:w="1047"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z w:val="24"/>
                <w:szCs w:val="24"/>
                <w:u w:val="none"/>
                <w:lang w:val="en-US" w:eastAsia="zh-CN"/>
                <w14:textFill>
                  <w14:solidFill>
                    <w14:schemeClr w14:val="tx1"/>
                  </w14:solidFill>
                </w14:textFill>
              </w:rPr>
              <w:t>2</w:t>
            </w:r>
          </w:p>
        </w:tc>
        <w:tc>
          <w:tcPr>
            <w:tcW w:w="1047"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孟津区</w:t>
            </w:r>
          </w:p>
        </w:tc>
        <w:tc>
          <w:tcPr>
            <w:tcW w:w="1047"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50</w:t>
            </w:r>
          </w:p>
        </w:tc>
        <w:tc>
          <w:tcPr>
            <w:tcW w:w="10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p>
        </w:tc>
        <w:tc>
          <w:tcPr>
            <w:tcW w:w="10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4</w:t>
            </w:r>
          </w:p>
        </w:tc>
        <w:tc>
          <w:tcPr>
            <w:tcW w:w="0" w:type="auto"/>
            <w:tcBorders>
              <w:top w:val="nil"/>
              <w:left w:val="single" w:color="000000" w:sz="4" w:space="0"/>
              <w:bottom w:val="single" w:color="000000" w:sz="4"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p>
        </w:tc>
        <w:tc>
          <w:tcPr>
            <w:tcW w:w="1047"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3</w:t>
            </w:r>
          </w:p>
        </w:tc>
        <w:tc>
          <w:tcPr>
            <w:tcW w:w="1047"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60</w:t>
            </w:r>
          </w:p>
        </w:tc>
        <w:tc>
          <w:tcPr>
            <w:tcW w:w="1047"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trPr>
        <w:tc>
          <w:tcPr>
            <w:tcW w:w="1047"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z w:val="24"/>
                <w:szCs w:val="24"/>
                <w:u w:val="none"/>
                <w:lang w:val="en-US" w:eastAsia="zh-CN"/>
                <w14:textFill>
                  <w14:solidFill>
                    <w14:schemeClr w14:val="tx1"/>
                  </w14:solidFill>
                </w14:textFill>
              </w:rPr>
              <w:t>3</w:t>
            </w:r>
          </w:p>
        </w:tc>
        <w:tc>
          <w:tcPr>
            <w:tcW w:w="10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偃师区</w:t>
            </w:r>
          </w:p>
        </w:tc>
        <w:tc>
          <w:tcPr>
            <w:tcW w:w="10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50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30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7</w:t>
            </w:r>
          </w:p>
        </w:tc>
        <w:tc>
          <w:tcPr>
            <w:tcW w:w="10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3</w:t>
            </w:r>
          </w:p>
        </w:tc>
        <w:tc>
          <w:tcPr>
            <w:tcW w:w="10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70</w:t>
            </w:r>
          </w:p>
        </w:tc>
        <w:tc>
          <w:tcPr>
            <w:tcW w:w="1047"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trPr>
        <w:tc>
          <w:tcPr>
            <w:tcW w:w="1047"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4</w:t>
            </w:r>
          </w:p>
        </w:tc>
        <w:tc>
          <w:tcPr>
            <w:tcW w:w="1047"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新安县</w:t>
            </w:r>
          </w:p>
        </w:tc>
        <w:tc>
          <w:tcPr>
            <w:tcW w:w="1047"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50</w:t>
            </w:r>
          </w:p>
        </w:tc>
        <w:tc>
          <w:tcPr>
            <w:tcW w:w="10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p>
        </w:tc>
        <w:tc>
          <w:tcPr>
            <w:tcW w:w="10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7</w:t>
            </w:r>
          </w:p>
        </w:tc>
        <w:tc>
          <w:tcPr>
            <w:tcW w:w="0" w:type="auto"/>
            <w:tcBorders>
              <w:top w:val="nil"/>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10</w:t>
            </w:r>
          </w:p>
        </w:tc>
        <w:tc>
          <w:tcPr>
            <w:tcW w:w="1047"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3</w:t>
            </w:r>
          </w:p>
        </w:tc>
        <w:tc>
          <w:tcPr>
            <w:tcW w:w="1047"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80</w:t>
            </w:r>
          </w:p>
        </w:tc>
        <w:tc>
          <w:tcPr>
            <w:tcW w:w="1047" w:type="dxa"/>
            <w:tcBorders>
              <w:top w:val="nil"/>
              <w:left w:val="single" w:color="000000" w:sz="8" w:space="0"/>
              <w:bottom w:val="single" w:color="000000"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trPr>
        <w:tc>
          <w:tcPr>
            <w:tcW w:w="1047"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5</w:t>
            </w:r>
          </w:p>
        </w:tc>
        <w:tc>
          <w:tcPr>
            <w:tcW w:w="10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伊川县</w:t>
            </w:r>
          </w:p>
        </w:tc>
        <w:tc>
          <w:tcPr>
            <w:tcW w:w="10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50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23</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3</w:t>
            </w:r>
          </w:p>
        </w:tc>
        <w:tc>
          <w:tcPr>
            <w:tcW w:w="10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4</w:t>
            </w:r>
          </w:p>
        </w:tc>
        <w:tc>
          <w:tcPr>
            <w:tcW w:w="10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80</w:t>
            </w:r>
          </w:p>
        </w:tc>
        <w:tc>
          <w:tcPr>
            <w:tcW w:w="1047" w:type="dxa"/>
            <w:tcBorders>
              <w:top w:val="single" w:color="000000" w:sz="4"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trPr>
        <w:tc>
          <w:tcPr>
            <w:tcW w:w="1047"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6</w:t>
            </w:r>
          </w:p>
        </w:tc>
        <w:tc>
          <w:tcPr>
            <w:tcW w:w="10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汝阳县</w:t>
            </w:r>
          </w:p>
        </w:tc>
        <w:tc>
          <w:tcPr>
            <w:tcW w:w="10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55</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28</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p>
        </w:tc>
        <w:tc>
          <w:tcPr>
            <w:tcW w:w="10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3</w:t>
            </w:r>
          </w:p>
        </w:tc>
        <w:tc>
          <w:tcPr>
            <w:tcW w:w="10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80</w:t>
            </w:r>
          </w:p>
        </w:tc>
        <w:tc>
          <w:tcPr>
            <w:tcW w:w="1047" w:type="dxa"/>
            <w:tcBorders>
              <w:top w:val="single" w:color="000000" w:sz="4"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trPr>
        <w:tc>
          <w:tcPr>
            <w:tcW w:w="1047"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7</w:t>
            </w:r>
          </w:p>
        </w:tc>
        <w:tc>
          <w:tcPr>
            <w:tcW w:w="10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嵩  县</w:t>
            </w:r>
          </w:p>
        </w:tc>
        <w:tc>
          <w:tcPr>
            <w:tcW w:w="10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50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23</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7</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4</w:t>
            </w:r>
          </w:p>
        </w:tc>
        <w:tc>
          <w:tcPr>
            <w:tcW w:w="10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4</w:t>
            </w:r>
          </w:p>
        </w:tc>
        <w:tc>
          <w:tcPr>
            <w:tcW w:w="10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60</w:t>
            </w:r>
          </w:p>
        </w:tc>
        <w:tc>
          <w:tcPr>
            <w:tcW w:w="1047" w:type="dxa"/>
            <w:tcBorders>
              <w:top w:val="single" w:color="000000" w:sz="4"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trPr>
        <w:tc>
          <w:tcPr>
            <w:tcW w:w="1047"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8</w:t>
            </w:r>
          </w:p>
        </w:tc>
        <w:tc>
          <w:tcPr>
            <w:tcW w:w="10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栾川县</w:t>
            </w:r>
          </w:p>
        </w:tc>
        <w:tc>
          <w:tcPr>
            <w:tcW w:w="10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65</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28</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4</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2</w:t>
            </w:r>
          </w:p>
        </w:tc>
        <w:tc>
          <w:tcPr>
            <w:tcW w:w="10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3</w:t>
            </w:r>
          </w:p>
        </w:tc>
        <w:tc>
          <w:tcPr>
            <w:tcW w:w="104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60</w:t>
            </w:r>
          </w:p>
        </w:tc>
        <w:tc>
          <w:tcPr>
            <w:tcW w:w="1047" w:type="dxa"/>
            <w:tcBorders>
              <w:top w:val="single" w:color="000000" w:sz="4"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trPr>
        <w:tc>
          <w:tcPr>
            <w:tcW w:w="1047" w:type="dxa"/>
            <w:tcBorders>
              <w:top w:val="nil"/>
              <w:left w:val="single" w:color="000000" w:sz="8"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9</w:t>
            </w:r>
          </w:p>
        </w:tc>
        <w:tc>
          <w:tcPr>
            <w:tcW w:w="1047" w:type="dxa"/>
            <w:tcBorders>
              <w:top w:val="single" w:color="000000" w:sz="4" w:space="0"/>
              <w:left w:val="single" w:color="000000" w:sz="4"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宜阳县</w:t>
            </w:r>
          </w:p>
        </w:tc>
        <w:tc>
          <w:tcPr>
            <w:tcW w:w="1047" w:type="dxa"/>
            <w:tcBorders>
              <w:top w:val="single" w:color="000000" w:sz="4" w:space="0"/>
              <w:left w:val="single" w:color="000000" w:sz="8"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60</w:t>
            </w:r>
          </w:p>
        </w:tc>
        <w:tc>
          <w:tcPr>
            <w:tcW w:w="104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28</w:t>
            </w:r>
          </w:p>
        </w:tc>
        <w:tc>
          <w:tcPr>
            <w:tcW w:w="104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auto" w:sz="4"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p>
        </w:tc>
        <w:tc>
          <w:tcPr>
            <w:tcW w:w="1047" w:type="dxa"/>
            <w:tcBorders>
              <w:top w:val="single" w:color="000000" w:sz="4" w:space="0"/>
              <w:left w:val="single" w:color="000000" w:sz="8"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3</w:t>
            </w:r>
          </w:p>
        </w:tc>
        <w:tc>
          <w:tcPr>
            <w:tcW w:w="1047" w:type="dxa"/>
            <w:tcBorders>
              <w:top w:val="single" w:color="000000" w:sz="4" w:space="0"/>
              <w:left w:val="single" w:color="000000" w:sz="8"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80</w:t>
            </w:r>
          </w:p>
        </w:tc>
        <w:tc>
          <w:tcPr>
            <w:tcW w:w="1047" w:type="dxa"/>
            <w:tcBorders>
              <w:top w:val="single" w:color="000000" w:sz="4"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trPr>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lang w:val="en-US"/>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10</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洛宁县</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60</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28</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3</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80</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209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i w:val="0"/>
                <w:iCs w:val="0"/>
                <w:color w:val="000000" w:themeColor="text1"/>
                <w:sz w:val="24"/>
                <w:szCs w:val="24"/>
                <w:u w:val="none"/>
                <w:lang w:eastAsia="zh-CN"/>
                <w14:textFill>
                  <w14:solidFill>
                    <w14:schemeClr w14:val="tx1"/>
                  </w14:solidFill>
                </w14:textFill>
              </w:rPr>
            </w:pPr>
            <w:r>
              <w:rPr>
                <w:rFonts w:hint="eastAsia" w:asciiTheme="minorEastAsia" w:hAnsiTheme="minorEastAsia" w:cstheme="minorEastAsia"/>
                <w:b w:val="0"/>
                <w:bCs w:val="0"/>
                <w:i w:val="0"/>
                <w:iCs w:val="0"/>
                <w:color w:val="000000" w:themeColor="text1"/>
                <w:sz w:val="24"/>
                <w:szCs w:val="24"/>
                <w:u w:val="none"/>
                <w:lang w:eastAsia="zh-CN"/>
                <w14:textFill>
                  <w14:solidFill>
                    <w14:schemeClr w14:val="tx1"/>
                  </w14:solidFill>
                </w14:textFill>
              </w:rPr>
              <w:t>合</w:t>
            </w:r>
            <w:r>
              <w:rPr>
                <w:rFonts w:hint="eastAsia" w:asciiTheme="minorEastAsia" w:hAnsiTheme="minorEastAsia" w:cstheme="minorEastAsia"/>
                <w:b w:val="0"/>
                <w:bCs w:val="0"/>
                <w:i w:val="0"/>
                <w:iCs w:val="0"/>
                <w:color w:val="000000" w:themeColor="text1"/>
                <w:sz w:val="24"/>
                <w:szCs w:val="24"/>
                <w:u w:val="none"/>
                <w:lang w:val="en-US" w:eastAsia="zh-CN"/>
                <w14:textFill>
                  <w14:solidFill>
                    <w14:schemeClr w14:val="tx1"/>
                  </w14:solidFill>
                </w14:textFill>
              </w:rPr>
              <w:t xml:space="preserve">   </w:t>
            </w:r>
            <w:r>
              <w:rPr>
                <w:rFonts w:hint="eastAsia" w:asciiTheme="minorEastAsia" w:hAnsiTheme="minorEastAsia" w:cstheme="minorEastAsia"/>
                <w:b w:val="0"/>
                <w:bCs w:val="0"/>
                <w:i w:val="0"/>
                <w:iCs w:val="0"/>
                <w:color w:val="000000" w:themeColor="text1"/>
                <w:sz w:val="24"/>
                <w:szCs w:val="24"/>
                <w:u w:val="none"/>
                <w:lang w:eastAsia="zh-CN"/>
                <w14:textFill>
                  <w14:solidFill>
                    <w14:schemeClr w14:val="tx1"/>
                  </w14:solidFill>
                </w14:textFill>
              </w:rPr>
              <w:t>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495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188</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22</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26</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heme="minorEastAsia" w:hAnsiTheme="minorEastAsia" w:eastAsiaTheme="minorEastAsia" w:cstheme="minorEastAsia"/>
                <w:b w:val="0"/>
                <w:bCs w:val="0"/>
                <w:i w:val="0"/>
                <w:iCs w:val="0"/>
                <w:color w:val="000000" w:themeColor="text1"/>
                <w:sz w:val="24"/>
                <w:szCs w:val="24"/>
                <w:u w:val="none"/>
                <w:lang w:val="en-US"/>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3</w:t>
            </w:r>
            <w:r>
              <w:rPr>
                <w:rFonts w:hint="eastAsia" w:asciiTheme="minorEastAsia" w:hAnsi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665</w:t>
            </w:r>
          </w:p>
        </w:tc>
        <w:tc>
          <w:tcPr>
            <w:tcW w:w="10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val="0"/>
                <w:bCs w:val="0"/>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30</w:t>
            </w:r>
          </w:p>
        </w:tc>
      </w:tr>
    </w:tbl>
    <w:p>
      <w:pPr>
        <w:keepNext w:val="0"/>
        <w:keepLines w:val="0"/>
        <w:pageBreakBefore w:val="0"/>
        <w:kinsoku/>
        <w:wordWrap/>
        <w:overflowPunct w:val="0"/>
        <w:topLinePunct w:val="0"/>
        <w:autoSpaceDE/>
        <w:autoSpaceDN/>
        <w:bidi w:val="0"/>
        <w:spacing w:line="608" w:lineRule="exact"/>
        <w:textAlignment w:val="center"/>
        <w:rPr>
          <w:rFonts w:hint="eastAsia"/>
          <w:snapToGrid w:val="0"/>
          <w:lang w:eastAsia="zh-CN"/>
        </w:rPr>
      </w:pPr>
    </w:p>
    <w:p>
      <w:pPr>
        <w:keepNext w:val="0"/>
        <w:keepLines w:val="0"/>
        <w:pageBreakBefore w:val="0"/>
        <w:widowControl w:val="0"/>
        <w:kinsoku/>
        <w:wordWrap/>
        <w:overflowPunct w:val="0"/>
        <w:topLinePunct w:val="0"/>
        <w:autoSpaceDE/>
        <w:autoSpaceDN/>
        <w:bidi w:val="0"/>
        <w:adjustRightInd/>
        <w:snapToGrid/>
        <w:spacing w:line="500" w:lineRule="exact"/>
        <w:ind w:left="0" w:leftChars="0"/>
        <w:textAlignment w:val="center"/>
        <w:rPr>
          <w:rFonts w:hint="eastAsia"/>
          <w:snapToGrid w:val="0"/>
          <w:lang w:eastAsia="zh-CN"/>
        </w:rPr>
      </w:pPr>
      <w:r>
        <w:rPr>
          <w:rFonts w:hint="eastAsia"/>
          <w:snapToGrid w:val="0"/>
          <w:lang w:eastAsia="zh-CN"/>
        </w:rPr>
        <w:t>备注：</w:t>
      </w:r>
    </w:p>
    <w:p>
      <w:pPr>
        <w:keepNext w:val="0"/>
        <w:keepLines w:val="0"/>
        <w:pageBreakBefore w:val="0"/>
        <w:widowControl w:val="0"/>
        <w:kinsoku/>
        <w:wordWrap/>
        <w:overflowPunct w:val="0"/>
        <w:topLinePunct w:val="0"/>
        <w:autoSpaceDE/>
        <w:autoSpaceDN/>
        <w:bidi w:val="0"/>
        <w:adjustRightInd/>
        <w:snapToGrid/>
        <w:spacing w:line="500" w:lineRule="exact"/>
        <w:ind w:left="0" w:leftChars="0" w:firstLine="480" w:firstLineChars="200"/>
        <w:textAlignment w:val="center"/>
        <w:rPr>
          <w:rFonts w:ascii="仿宋_GB2312" w:hAnsi="Times New Roman" w:eastAsia="仿宋_GB2312" w:cs="Times New Roman"/>
          <w:snapToGrid w:val="0"/>
          <w:kern w:val="0"/>
          <w:sz w:val="24"/>
          <w:szCs w:val="20"/>
          <w:lang w:bidi="ar"/>
        </w:rPr>
      </w:pPr>
      <w:r>
        <w:rPr>
          <w:rFonts w:ascii="仿宋_GB2312" w:hAnsi="Times New Roman" w:eastAsia="仿宋_GB2312" w:cs="Times New Roman"/>
          <w:snapToGrid w:val="0"/>
          <w:kern w:val="0"/>
          <w:sz w:val="24"/>
          <w:szCs w:val="20"/>
          <w:lang w:bidi="ar"/>
        </w:rPr>
        <w:t>1.202</w:t>
      </w:r>
      <w:r>
        <w:rPr>
          <w:rFonts w:hint="eastAsia" w:ascii="仿宋_GB2312" w:hAnsi="Times New Roman" w:eastAsia="仿宋_GB2312" w:cs="Times New Roman"/>
          <w:snapToGrid w:val="0"/>
          <w:kern w:val="0"/>
          <w:sz w:val="24"/>
          <w:szCs w:val="20"/>
          <w:lang w:val="en-US" w:eastAsia="zh-CN" w:bidi="ar"/>
        </w:rPr>
        <w:t>3</w:t>
      </w:r>
      <w:r>
        <w:rPr>
          <w:rFonts w:ascii="仿宋_GB2312" w:hAnsi="Times New Roman" w:eastAsia="仿宋_GB2312" w:cs="Times New Roman"/>
          <w:snapToGrid w:val="0"/>
          <w:kern w:val="0"/>
          <w:sz w:val="24"/>
          <w:szCs w:val="20"/>
          <w:lang w:bidi="ar"/>
        </w:rPr>
        <w:t>年基层农技推广补助项目在1</w:t>
      </w:r>
      <w:r>
        <w:rPr>
          <w:rFonts w:hint="eastAsia" w:ascii="仿宋_GB2312" w:hAnsi="Times New Roman" w:eastAsia="仿宋_GB2312" w:cs="Times New Roman"/>
          <w:snapToGrid w:val="0"/>
          <w:kern w:val="0"/>
          <w:sz w:val="24"/>
          <w:szCs w:val="20"/>
          <w:lang w:val="en-US" w:eastAsia="zh-CN" w:bidi="ar"/>
        </w:rPr>
        <w:t>0</w:t>
      </w:r>
      <w:r>
        <w:rPr>
          <w:rFonts w:ascii="仿宋_GB2312" w:hAnsi="Times New Roman" w:eastAsia="仿宋_GB2312" w:cs="Times New Roman"/>
          <w:snapToGrid w:val="0"/>
          <w:kern w:val="0"/>
          <w:sz w:val="24"/>
          <w:szCs w:val="20"/>
          <w:lang w:bidi="ar"/>
        </w:rPr>
        <w:t>个县区实施。</w:t>
      </w:r>
    </w:p>
    <w:p>
      <w:pPr>
        <w:keepNext w:val="0"/>
        <w:keepLines w:val="0"/>
        <w:pageBreakBefore w:val="0"/>
        <w:widowControl w:val="0"/>
        <w:kinsoku/>
        <w:wordWrap/>
        <w:overflowPunct w:val="0"/>
        <w:topLinePunct w:val="0"/>
        <w:autoSpaceDE/>
        <w:autoSpaceDN/>
        <w:bidi w:val="0"/>
        <w:adjustRightInd/>
        <w:snapToGrid/>
        <w:spacing w:line="500" w:lineRule="exact"/>
        <w:ind w:left="0" w:leftChars="0" w:firstLine="480" w:firstLineChars="200"/>
        <w:textAlignment w:val="center"/>
        <w:rPr>
          <w:rFonts w:ascii="仿宋_GB2312" w:hAnsi="Times New Roman" w:eastAsia="仿宋_GB2312" w:cs="Times New Roman"/>
          <w:snapToGrid w:val="0"/>
          <w:kern w:val="0"/>
          <w:sz w:val="24"/>
          <w:szCs w:val="20"/>
          <w:lang w:bidi="ar"/>
        </w:rPr>
      </w:pPr>
      <w:r>
        <w:rPr>
          <w:rFonts w:ascii="仿宋_GB2312" w:hAnsi="Times New Roman" w:eastAsia="仿宋_GB2312" w:cs="Times New Roman"/>
          <w:snapToGrid w:val="0"/>
          <w:kern w:val="0"/>
          <w:sz w:val="24"/>
          <w:szCs w:val="20"/>
          <w:lang w:bidi="ar"/>
        </w:rPr>
        <w:t>2.全市计划完成基层农技人员连续5天以上脱产业务培训7</w:t>
      </w:r>
      <w:r>
        <w:rPr>
          <w:rFonts w:hint="eastAsia" w:ascii="仿宋_GB2312" w:hAnsi="Times New Roman" w:eastAsia="仿宋_GB2312" w:cs="Times New Roman"/>
          <w:snapToGrid w:val="0"/>
          <w:kern w:val="0"/>
          <w:sz w:val="24"/>
          <w:szCs w:val="20"/>
          <w:lang w:val="en-US" w:eastAsia="zh-CN" w:bidi="ar"/>
        </w:rPr>
        <w:t>31</w:t>
      </w:r>
      <w:r>
        <w:rPr>
          <w:rFonts w:ascii="仿宋_GB2312" w:hAnsi="Times New Roman" w:eastAsia="仿宋_GB2312" w:cs="Times New Roman"/>
          <w:snapToGrid w:val="0"/>
          <w:kern w:val="0"/>
          <w:sz w:val="24"/>
          <w:szCs w:val="20"/>
          <w:lang w:bidi="ar"/>
        </w:rPr>
        <w:t>人以上（含省市级基层农技推广骨干人才培训任务数）。</w:t>
      </w:r>
    </w:p>
    <w:p>
      <w:pPr>
        <w:keepNext w:val="0"/>
        <w:keepLines w:val="0"/>
        <w:pageBreakBefore w:val="0"/>
        <w:widowControl w:val="0"/>
        <w:kinsoku/>
        <w:wordWrap/>
        <w:overflowPunct w:val="0"/>
        <w:topLinePunct w:val="0"/>
        <w:autoSpaceDE/>
        <w:autoSpaceDN/>
        <w:bidi w:val="0"/>
        <w:adjustRightInd/>
        <w:snapToGrid/>
        <w:spacing w:line="500" w:lineRule="exact"/>
        <w:ind w:left="0" w:leftChars="0" w:firstLine="480" w:firstLineChars="200"/>
        <w:textAlignment w:val="center"/>
        <w:rPr>
          <w:rFonts w:ascii="仿宋_GB2312" w:hAnsi="Times New Roman" w:eastAsia="仿宋_GB2312" w:cs="Times New Roman"/>
          <w:snapToGrid w:val="0"/>
          <w:kern w:val="0"/>
          <w:sz w:val="24"/>
          <w:szCs w:val="20"/>
          <w:lang w:bidi="ar"/>
        </w:rPr>
      </w:pPr>
      <w:r>
        <w:rPr>
          <w:rFonts w:ascii="仿宋_GB2312" w:hAnsi="Times New Roman" w:eastAsia="仿宋_GB2312" w:cs="Times New Roman"/>
          <w:snapToGrid w:val="0"/>
          <w:kern w:val="0"/>
          <w:sz w:val="24"/>
          <w:szCs w:val="20"/>
          <w:lang w:bidi="ar"/>
        </w:rPr>
        <w:t>3.全市计划建设农业科技示范展示基地</w:t>
      </w:r>
      <w:r>
        <w:rPr>
          <w:rFonts w:hint="eastAsia" w:ascii="仿宋_GB2312" w:hAnsi="Times New Roman" w:eastAsia="仿宋_GB2312" w:cs="Times New Roman"/>
          <w:snapToGrid w:val="0"/>
          <w:kern w:val="0"/>
          <w:sz w:val="24"/>
          <w:szCs w:val="20"/>
          <w:lang w:val="en-US" w:eastAsia="zh-CN" w:bidi="ar"/>
        </w:rPr>
        <w:t>3</w:t>
      </w:r>
      <w:r>
        <w:rPr>
          <w:rFonts w:hint="default" w:ascii="仿宋_GB2312" w:hAnsi="Times New Roman" w:eastAsia="仿宋_GB2312" w:cs="Times New Roman"/>
          <w:snapToGrid w:val="0"/>
          <w:kern w:val="0"/>
          <w:sz w:val="24"/>
          <w:szCs w:val="20"/>
          <w:lang w:val="en" w:eastAsia="zh-CN" w:bidi="ar"/>
        </w:rPr>
        <w:t>1</w:t>
      </w:r>
      <w:r>
        <w:rPr>
          <w:rFonts w:ascii="仿宋_GB2312" w:hAnsi="Times New Roman" w:eastAsia="仿宋_GB2312" w:cs="Times New Roman"/>
          <w:snapToGrid w:val="0"/>
          <w:kern w:val="0"/>
          <w:sz w:val="24"/>
          <w:szCs w:val="20"/>
          <w:lang w:bidi="ar"/>
        </w:rPr>
        <w:t>个。大力支持部、省、市三级认定的示范基地建设。</w:t>
      </w:r>
    </w:p>
    <w:p>
      <w:pPr>
        <w:keepNext w:val="0"/>
        <w:keepLines w:val="0"/>
        <w:pageBreakBefore w:val="0"/>
        <w:widowControl w:val="0"/>
        <w:kinsoku/>
        <w:wordWrap/>
        <w:overflowPunct w:val="0"/>
        <w:topLinePunct w:val="0"/>
        <w:autoSpaceDE/>
        <w:autoSpaceDN/>
        <w:bidi w:val="0"/>
        <w:adjustRightInd/>
        <w:snapToGrid/>
        <w:spacing w:line="500" w:lineRule="exact"/>
        <w:ind w:left="0" w:leftChars="0" w:firstLine="480" w:firstLineChars="200"/>
        <w:textAlignment w:val="center"/>
        <w:rPr>
          <w:rFonts w:ascii="仿宋_GB2312" w:hAnsi="Times New Roman" w:eastAsia="仿宋_GB2312" w:cs="Times New Roman"/>
          <w:snapToGrid w:val="0"/>
          <w:kern w:val="0"/>
          <w:sz w:val="24"/>
          <w:szCs w:val="20"/>
          <w:lang w:bidi="ar"/>
        </w:rPr>
      </w:pPr>
      <w:r>
        <w:rPr>
          <w:rFonts w:ascii="仿宋_GB2312" w:hAnsi="Times New Roman" w:eastAsia="仿宋_GB2312" w:cs="Times New Roman"/>
          <w:snapToGrid w:val="0"/>
          <w:kern w:val="0"/>
          <w:sz w:val="24"/>
          <w:szCs w:val="20"/>
          <w:lang w:bidi="ar"/>
        </w:rPr>
        <w:t>4.支持全市6个脱贫县和其他有需求的项目县实施农技推广服务特聘计划。</w:t>
      </w:r>
    </w:p>
    <w:p>
      <w:pPr>
        <w:keepNext w:val="0"/>
        <w:keepLines w:val="0"/>
        <w:pageBreakBefore w:val="0"/>
        <w:widowControl w:val="0"/>
        <w:kinsoku/>
        <w:wordWrap/>
        <w:topLinePunct w:val="0"/>
        <w:autoSpaceDE/>
        <w:autoSpaceDN/>
        <w:bidi w:val="0"/>
        <w:adjustRightInd/>
        <w:snapToGrid/>
        <w:spacing w:line="500" w:lineRule="exact"/>
        <w:ind w:left="0" w:leftChars="0" w:firstLine="480" w:firstLineChars="200"/>
      </w:pPr>
      <w:r>
        <w:rPr>
          <w:rFonts w:ascii="仿宋_GB2312" w:hAnsi="Times New Roman" w:eastAsia="仿宋_GB2312" w:cs="Times New Roman"/>
          <w:snapToGrid w:val="0"/>
          <w:kern w:val="0"/>
          <w:sz w:val="24"/>
          <w:szCs w:val="20"/>
          <w:lang w:bidi="ar"/>
        </w:rPr>
        <w:t>5.全市遴选培育农业科技示范主体6</w:t>
      </w:r>
      <w:r>
        <w:rPr>
          <w:rFonts w:hint="eastAsia" w:ascii="仿宋_GB2312" w:hAnsi="Times New Roman" w:eastAsia="仿宋_GB2312" w:cs="Times New Roman"/>
          <w:snapToGrid w:val="0"/>
          <w:kern w:val="0"/>
          <w:sz w:val="24"/>
          <w:szCs w:val="20"/>
          <w:lang w:val="en-US" w:eastAsia="zh-CN" w:bidi="ar"/>
        </w:rPr>
        <w:t>65</w:t>
      </w:r>
      <w:r>
        <w:rPr>
          <w:rFonts w:ascii="仿宋_GB2312" w:hAnsi="Times New Roman" w:eastAsia="仿宋_GB2312" w:cs="Times New Roman"/>
          <w:snapToGrid w:val="0"/>
          <w:kern w:val="0"/>
          <w:sz w:val="24"/>
          <w:szCs w:val="20"/>
          <w:lang w:bidi="ar"/>
        </w:rPr>
        <w:t>个以上。</w:t>
      </w:r>
    </w:p>
    <w:p>
      <w:pPr>
        <w:pStyle w:val="3"/>
        <w:keepNext w:val="0"/>
        <w:keepLines w:val="0"/>
        <w:pageBreakBefore w:val="0"/>
        <w:kinsoku/>
        <w:wordWrap/>
        <w:topLinePunct w:val="0"/>
        <w:autoSpaceDE/>
        <w:autoSpaceDN/>
        <w:bidi w:val="0"/>
        <w:spacing w:line="608" w:lineRule="exact"/>
        <w:ind w:left="0" w:leftChars="0" w:right="1470" w:firstLine="0" w:firstLineChars="0"/>
        <w:rPr>
          <w:rFonts w:hint="eastAsia" w:eastAsiaTheme="minorEastAsia"/>
          <w:snapToGrid w:val="0"/>
          <w:lang w:eastAsia="zh-CN"/>
        </w:rPr>
      </w:pPr>
    </w:p>
    <w:p>
      <w:pPr>
        <w:pStyle w:val="3"/>
        <w:keepNext w:val="0"/>
        <w:keepLines w:val="0"/>
        <w:pageBreakBefore w:val="0"/>
        <w:kinsoku/>
        <w:wordWrap/>
        <w:overflowPunct w:val="0"/>
        <w:topLinePunct w:val="0"/>
        <w:autoSpaceDE/>
        <w:autoSpaceDN/>
        <w:bidi w:val="0"/>
        <w:spacing w:after="0" w:line="608" w:lineRule="exact"/>
        <w:ind w:left="0" w:leftChars="0" w:right="0" w:rightChars="0"/>
        <w:jc w:val="both"/>
        <w:rPr>
          <w:rFonts w:hint="eastAsia" w:ascii="宋体" w:hAnsi="宋体" w:eastAsia="宋体" w:cs="宋体"/>
          <w:b/>
          <w:bCs/>
          <w:snapToGrid w:val="0"/>
          <w:kern w:val="0"/>
          <w:sz w:val="44"/>
          <w:szCs w:val="44"/>
        </w:rPr>
      </w:pPr>
    </w:p>
    <w:p>
      <w:pPr>
        <w:keepNext w:val="0"/>
        <w:keepLines w:val="0"/>
        <w:pageBreakBefore w:val="0"/>
        <w:kinsoku/>
        <w:wordWrap/>
        <w:topLinePunct w:val="0"/>
        <w:autoSpaceDE/>
        <w:autoSpaceDN/>
        <w:bidi w:val="0"/>
        <w:spacing w:line="608" w:lineRule="exact"/>
      </w:pPr>
    </w:p>
    <w:p>
      <w:pPr>
        <w:pStyle w:val="3"/>
        <w:keepNext w:val="0"/>
        <w:keepLines w:val="0"/>
        <w:pageBreakBefore w:val="0"/>
        <w:kinsoku/>
        <w:wordWrap/>
        <w:overflowPunct w:val="0"/>
        <w:topLinePunct w:val="0"/>
        <w:autoSpaceDE/>
        <w:autoSpaceDN/>
        <w:bidi w:val="0"/>
        <w:spacing w:after="0" w:line="608" w:lineRule="exact"/>
        <w:ind w:left="1469" w:leftChars="0" w:right="1469" w:rightChars="0"/>
        <w:rPr>
          <w:rFonts w:hint="eastAsia" w:ascii="Times New Roman" w:hAnsi="Times New Roman" w:cs="Times New Roman" w:eastAsiaTheme="minorEastAsia"/>
          <w:snapToGrid w:val="0"/>
          <w:kern w:val="0"/>
          <w:lang w:eastAsia="zh-CN"/>
        </w:rPr>
      </w:pPr>
      <w:r>
        <w:rPr>
          <w:rFonts w:hint="eastAsia" w:ascii="Times New Roman" w:hAnsi="Times New Roman" w:cs="Times New Roman"/>
          <w:snapToGrid w:val="0"/>
          <w:kern w:val="0"/>
          <w:lang w:eastAsia="zh-CN"/>
        </w:rPr>
        <w:t>1</w:t>
      </w:r>
    </w:p>
    <w:p>
      <w:pPr>
        <w:pStyle w:val="3"/>
        <w:keepNext w:val="0"/>
        <w:keepLines w:val="0"/>
        <w:pageBreakBefore w:val="0"/>
        <w:kinsoku/>
        <w:wordWrap/>
        <w:overflowPunct w:val="0"/>
        <w:topLinePunct w:val="0"/>
        <w:autoSpaceDE/>
        <w:autoSpaceDN/>
        <w:bidi w:val="0"/>
        <w:spacing w:after="0" w:line="608" w:lineRule="exact"/>
        <w:ind w:left="1469" w:leftChars="0" w:right="1469" w:rightChars="0"/>
        <w:rPr>
          <w:rFonts w:ascii="Times New Roman" w:hAnsi="Times New Roman" w:cs="Times New Roman"/>
          <w:snapToGrid w:val="0"/>
          <w:kern w:val="0"/>
        </w:rPr>
        <w:sectPr>
          <w:footerReference r:id="rId3" w:type="default"/>
          <w:pgSz w:w="11906" w:h="16838"/>
          <w:pgMar w:top="1247" w:right="1247" w:bottom="1701" w:left="1247" w:header="851" w:footer="850" w:gutter="0"/>
          <w:pgNumType w:fmt="decimal"/>
          <w:cols w:space="425" w:num="1"/>
          <w:docGrid w:type="lines" w:linePitch="312" w:charSpace="0"/>
        </w:sectPr>
      </w:pPr>
    </w:p>
    <w:p>
      <w:pPr>
        <w:pStyle w:val="2"/>
        <w:keepNext w:val="0"/>
        <w:keepLines w:val="0"/>
        <w:pageBreakBefore w:val="0"/>
        <w:kinsoku/>
        <w:wordWrap/>
        <w:topLinePunct w:val="0"/>
        <w:autoSpaceDE/>
        <w:autoSpaceDN/>
        <w:bidi w:val="0"/>
        <w:spacing w:line="608" w:lineRule="exact"/>
        <w:ind w:left="0" w:leftChars="0" w:firstLine="0" w:firstLineChars="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附件2</w:t>
      </w:r>
    </w:p>
    <w:p>
      <w:pPr>
        <w:keepNext w:val="0"/>
        <w:keepLines w:val="0"/>
        <w:pageBreakBefore w:val="0"/>
        <w:kinsoku/>
        <w:wordWrap/>
        <w:topLinePunct w:val="0"/>
        <w:autoSpaceDE/>
        <w:autoSpaceDN/>
        <w:bidi w:val="0"/>
        <w:spacing w:line="608" w:lineRule="exact"/>
        <w:rPr>
          <w:rFonts w:hint="default"/>
          <w:lang w:val="en-US" w:eastAsia="zh-CN"/>
        </w:rPr>
      </w:pPr>
    </w:p>
    <w:tbl>
      <w:tblPr>
        <w:tblStyle w:val="6"/>
        <w:tblW w:w="8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5"/>
        <w:gridCol w:w="855"/>
        <w:gridCol w:w="450"/>
        <w:gridCol w:w="6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93" w:hRule="atLeast"/>
        </w:trPr>
        <w:tc>
          <w:tcPr>
            <w:tcW w:w="8940" w:type="dxa"/>
            <w:gridSpan w:val="4"/>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8" w:lineRule="exact"/>
              <w:jc w:val="center"/>
              <w:textAlignment w:val="center"/>
              <w:rPr>
                <w:rFonts w:hint="eastAsia" w:ascii="方正小标宋简体" w:hAnsi="方正小标宋简体" w:eastAsia="方正小标宋简体" w:cs="方正小标宋简体"/>
                <w:b w:val="0"/>
                <w:bCs/>
                <w:i w:val="0"/>
                <w:color w:val="000000"/>
                <w:kern w:val="0"/>
                <w:sz w:val="44"/>
                <w:szCs w:val="44"/>
                <w:u w:val="none"/>
                <w:lang w:val="en-US" w:eastAsia="zh-CN" w:bidi="ar"/>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河南省2023年基层农技推广体系改革与建设项目绩效考评指标体系</w:t>
            </w:r>
          </w:p>
          <w:p>
            <w:pPr>
              <w:keepNext w:val="0"/>
              <w:keepLines w:val="0"/>
              <w:pageBreakBefore w:val="0"/>
              <w:widowControl/>
              <w:suppressLineNumbers w:val="0"/>
              <w:kinsoku/>
              <w:wordWrap/>
              <w:overflowPunct/>
              <w:topLinePunct w:val="0"/>
              <w:autoSpaceDE/>
              <w:autoSpaceDN/>
              <w:bidi w:val="0"/>
              <w:adjustRightInd/>
              <w:snapToGrid/>
              <w:spacing w:line="608" w:lineRule="exact"/>
              <w:jc w:val="center"/>
              <w:textAlignment w:val="center"/>
              <w:rPr>
                <w:rFonts w:hint="eastAsia" w:ascii="方正小标宋简体" w:hAnsi="方正小标宋简体" w:eastAsia="方正小标宋简体" w:cs="方正小标宋简体"/>
                <w:b w:val="0"/>
                <w:bCs/>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2" w:hRule="atLeast"/>
        </w:trPr>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default" w:ascii="黑体" w:hAnsi="宋体" w:eastAsia="黑体" w:cs="黑体"/>
                <w:b/>
                <w:i w:val="0"/>
                <w:color w:val="000000"/>
                <w:kern w:val="0"/>
                <w:sz w:val="21"/>
                <w:szCs w:val="21"/>
                <w:u w:val="none"/>
                <w:lang w:val="en-US" w:eastAsia="zh-CN" w:bidi="ar"/>
              </w:rPr>
            </w:pPr>
            <w:r>
              <w:rPr>
                <w:rFonts w:hint="default" w:ascii="黑体" w:hAnsi="宋体" w:eastAsia="黑体" w:cs="黑体"/>
                <w:b/>
                <w:i w:val="0"/>
                <w:color w:val="000000"/>
                <w:kern w:val="0"/>
                <w:sz w:val="21"/>
                <w:szCs w:val="21"/>
                <w:u w:val="none"/>
                <w:lang w:val="en-US" w:eastAsia="zh-CN" w:bidi="ar"/>
              </w:rPr>
              <w:t>一级</w:t>
            </w:r>
          </w:p>
          <w:p>
            <w:pPr>
              <w:keepNext w:val="0"/>
              <w:keepLines w:val="0"/>
              <w:pageBreakBefore w:val="0"/>
              <w:widowControl/>
              <w:suppressLineNumbers w:val="0"/>
              <w:kinsoku/>
              <w:wordWrap/>
              <w:topLinePunct w:val="0"/>
              <w:autoSpaceDE/>
              <w:autoSpaceDN/>
              <w:bidi w:val="0"/>
              <w:spacing w:line="608" w:lineRule="exact"/>
              <w:jc w:val="center"/>
              <w:textAlignment w:val="center"/>
              <w:rPr>
                <w:rFonts w:ascii="黑体" w:hAnsi="宋体" w:eastAsia="黑体" w:cs="黑体"/>
                <w:b/>
                <w:i w:val="0"/>
                <w:color w:val="000000"/>
                <w:sz w:val="21"/>
                <w:szCs w:val="21"/>
                <w:u w:val="none"/>
              </w:rPr>
            </w:pPr>
            <w:r>
              <w:rPr>
                <w:rFonts w:hint="default" w:ascii="黑体" w:hAnsi="宋体" w:eastAsia="黑体" w:cs="黑体"/>
                <w:b/>
                <w:i w:val="0"/>
                <w:color w:val="000000"/>
                <w:kern w:val="0"/>
                <w:sz w:val="21"/>
                <w:szCs w:val="21"/>
                <w:u w:val="none"/>
                <w:lang w:val="en-US" w:eastAsia="zh-CN" w:bidi="ar"/>
              </w:rPr>
              <w:t>指标</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default" w:ascii="黑体" w:hAnsi="宋体" w:eastAsia="黑体" w:cs="黑体"/>
                <w:b/>
                <w:i w:val="0"/>
                <w:color w:val="000000"/>
                <w:kern w:val="0"/>
                <w:sz w:val="21"/>
                <w:szCs w:val="21"/>
                <w:u w:val="none"/>
                <w:lang w:val="en-US" w:eastAsia="zh-CN" w:bidi="ar"/>
              </w:rPr>
            </w:pPr>
            <w:r>
              <w:rPr>
                <w:rFonts w:hint="default" w:ascii="黑体" w:hAnsi="宋体" w:eastAsia="黑体" w:cs="黑体"/>
                <w:b/>
                <w:i w:val="0"/>
                <w:color w:val="000000"/>
                <w:kern w:val="0"/>
                <w:sz w:val="21"/>
                <w:szCs w:val="21"/>
                <w:u w:val="none"/>
                <w:lang w:val="en-US" w:eastAsia="zh-CN" w:bidi="ar"/>
              </w:rPr>
              <w:t>二级</w:t>
            </w:r>
          </w:p>
          <w:p>
            <w:pPr>
              <w:keepNext w:val="0"/>
              <w:keepLines w:val="0"/>
              <w:pageBreakBefore w:val="0"/>
              <w:widowControl/>
              <w:suppressLineNumbers w:val="0"/>
              <w:kinsoku/>
              <w:wordWrap/>
              <w:topLinePunct w:val="0"/>
              <w:autoSpaceDE/>
              <w:autoSpaceDN/>
              <w:bidi w:val="0"/>
              <w:spacing w:line="608" w:lineRule="exact"/>
              <w:jc w:val="center"/>
              <w:textAlignment w:val="center"/>
              <w:rPr>
                <w:rFonts w:hint="default" w:ascii="黑体" w:hAnsi="宋体" w:eastAsia="黑体" w:cs="黑体"/>
                <w:b/>
                <w:i w:val="0"/>
                <w:color w:val="000000"/>
                <w:sz w:val="21"/>
                <w:szCs w:val="21"/>
                <w:u w:val="none"/>
              </w:rPr>
            </w:pPr>
            <w:r>
              <w:rPr>
                <w:rFonts w:hint="default" w:ascii="黑体" w:hAnsi="宋体" w:eastAsia="黑体" w:cs="黑体"/>
                <w:b/>
                <w:i w:val="0"/>
                <w:color w:val="000000"/>
                <w:kern w:val="0"/>
                <w:sz w:val="21"/>
                <w:szCs w:val="21"/>
                <w:u w:val="none"/>
                <w:lang w:val="en-US" w:eastAsia="zh-CN" w:bidi="ar"/>
              </w:rPr>
              <w:t>指标</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default" w:ascii="黑体" w:hAnsi="宋体" w:eastAsia="黑体" w:cs="黑体"/>
                <w:b/>
                <w:i w:val="0"/>
                <w:color w:val="000000"/>
                <w:sz w:val="21"/>
                <w:szCs w:val="21"/>
                <w:u w:val="none"/>
              </w:rPr>
            </w:pPr>
            <w:r>
              <w:rPr>
                <w:rFonts w:hint="default" w:ascii="黑体" w:hAnsi="宋体" w:eastAsia="黑体" w:cs="黑体"/>
                <w:b/>
                <w:i w:val="0"/>
                <w:color w:val="000000"/>
                <w:kern w:val="0"/>
                <w:sz w:val="21"/>
                <w:szCs w:val="21"/>
                <w:u w:val="none"/>
                <w:lang w:val="en-US" w:eastAsia="zh-CN" w:bidi="ar"/>
              </w:rPr>
              <w:t>分值</w:t>
            </w:r>
          </w:p>
        </w:tc>
        <w:tc>
          <w:tcPr>
            <w:tcW w:w="6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default" w:ascii="黑体" w:hAnsi="宋体" w:eastAsia="黑体" w:cs="黑体"/>
                <w:b/>
                <w:i w:val="0"/>
                <w:color w:val="000000"/>
                <w:sz w:val="21"/>
                <w:szCs w:val="21"/>
                <w:u w:val="none"/>
              </w:rPr>
            </w:pPr>
            <w:r>
              <w:rPr>
                <w:rFonts w:hint="default" w:ascii="黑体" w:hAnsi="宋体" w:eastAsia="黑体" w:cs="黑体"/>
                <w:b/>
                <w:i w:val="0"/>
                <w:color w:val="000000"/>
                <w:kern w:val="0"/>
                <w:sz w:val="21"/>
                <w:szCs w:val="21"/>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trPr>
        <w:tc>
          <w:tcPr>
            <w:tcW w:w="10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基层农技推广机构规范化建设</w:t>
            </w:r>
          </w:p>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（10分）</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人员</w:t>
            </w:r>
          </w:p>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配备</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6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①在编基层农技人员数占农技推广机构核定编制总数不低于90%的，得2分；每降低1个百分点扣0.2分，扣完为止。②每个区域农技站配备工作人员不低于9名、每个乡镇农技站配备工作人员不低于4名的，得2分；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3" w:hRule="atLeast"/>
        </w:trPr>
        <w:tc>
          <w:tcPr>
            <w:tcW w:w="10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E/>
              <w:autoSpaceDN/>
              <w:bidi w:val="0"/>
              <w:spacing w:line="608" w:lineRule="exact"/>
              <w:jc w:val="left"/>
              <w:rPr>
                <w:rFonts w:hint="eastAsia" w:ascii="宋体" w:hAnsi="宋体" w:eastAsia="宋体" w:cs="宋体"/>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条件</w:t>
            </w:r>
          </w:p>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6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sz w:val="21"/>
                <w:szCs w:val="21"/>
                <w:u w:val="none"/>
              </w:rPr>
            </w:pPr>
            <w:r>
              <w:rPr>
                <w:rStyle w:val="10"/>
                <w:sz w:val="21"/>
                <w:szCs w:val="21"/>
                <w:lang w:val="en-US" w:eastAsia="zh-CN" w:bidi="ar"/>
              </w:rPr>
              <w:t>①全部乡镇（区域）农技站配备必要办公设施、仪器设备，水电齐全，配备交通工具，可正常上班工作的得2分；每有1个乡镇（区域）农技站没配备办公设施或水电不通或没配备交通工具，无法正常开展工作的扣1分，扣完为止。②全部乡镇（区域）农技站配备生活设施，可吃饭住宿的得1分；每有1个乡镇（区域）农技站没配备生活设施或无法吃饭住宿的扣1分，扣完为止。③全部乡镇（区域）农技站配备培训设施并开展培训的得1分；每有1个乡镇（区域）农技站没配备培训设施或没开展培训的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trPr>
        <w:tc>
          <w:tcPr>
            <w:tcW w:w="10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E/>
              <w:autoSpaceDN/>
              <w:bidi w:val="0"/>
              <w:spacing w:line="608" w:lineRule="exact"/>
              <w:jc w:val="left"/>
              <w:rPr>
                <w:rFonts w:hint="eastAsia" w:ascii="宋体" w:hAnsi="宋体" w:eastAsia="宋体" w:cs="宋体"/>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规范化建设</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6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部乡镇（区域）农技站使用“中国农技推广”标识，制定服务网络图，明确农技人员聘用、推广责任、考评考核、多元推广、知识更新培训等5项制度的，得2分；每有1个乡镇（区域）农技站出现1项缺失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0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基层农技人员能力提升</w:t>
            </w:r>
          </w:p>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（15分）</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培训</w:t>
            </w:r>
          </w:p>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管理</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6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①建立基层农技人员分级分类培训计划和培训人员选拔办法的，得2分；否则不得分。②受培训基层农技人员全部建立培训档案的得1分；未建立不得分。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4" w:hRule="atLeast"/>
        </w:trPr>
        <w:tc>
          <w:tcPr>
            <w:tcW w:w="10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E/>
              <w:autoSpaceDN/>
              <w:bidi w:val="0"/>
              <w:spacing w:line="608" w:lineRule="exact"/>
              <w:jc w:val="left"/>
              <w:rPr>
                <w:rFonts w:hint="eastAsia" w:ascii="宋体" w:hAnsi="宋体" w:eastAsia="宋体" w:cs="宋体"/>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任务</w:t>
            </w:r>
          </w:p>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落实</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6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sz w:val="21"/>
                <w:szCs w:val="21"/>
                <w:u w:val="none"/>
              </w:rPr>
            </w:pPr>
            <w:r>
              <w:rPr>
                <w:rStyle w:val="10"/>
                <w:sz w:val="21"/>
                <w:szCs w:val="21"/>
                <w:lang w:val="en-US" w:eastAsia="zh-CN" w:bidi="ar"/>
              </w:rPr>
              <w:t>①全县1/3以上在编基层农技人员接受连续不少于5天脱产业务培训的得5分；基层农技人员培训数低于培训任务清单数的，每少1名扣0.5分，扣完为止。②按任务要求遴选并组织参加省市农技推广骨干人才培训的，得5分；每少1名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10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E/>
              <w:autoSpaceDN/>
              <w:bidi w:val="0"/>
              <w:spacing w:line="608" w:lineRule="exact"/>
              <w:jc w:val="left"/>
              <w:rPr>
                <w:rFonts w:hint="eastAsia" w:ascii="宋体" w:hAnsi="宋体" w:eastAsia="宋体" w:cs="宋体"/>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培训</w:t>
            </w:r>
          </w:p>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效果</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6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参加培训活动，学员满意率不低于95%的，得2分；每降低1个百分点扣0.5分，扣完为止。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7" w:hRule="atLeast"/>
        </w:trPr>
        <w:tc>
          <w:tcPr>
            <w:tcW w:w="10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农业先进适用技术推广应用（25分）</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农业科技示范展示基地建设</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6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8" w:lineRule="exact"/>
              <w:jc w:val="left"/>
              <w:textAlignment w:val="center"/>
              <w:rPr>
                <w:rFonts w:hint="eastAsia" w:ascii="宋体" w:hAnsi="宋体" w:eastAsia="宋体" w:cs="宋体"/>
                <w:i w:val="0"/>
                <w:color w:val="000000"/>
                <w:sz w:val="21"/>
                <w:szCs w:val="21"/>
                <w:u w:val="none"/>
              </w:rPr>
            </w:pPr>
            <w:r>
              <w:rPr>
                <w:rStyle w:val="10"/>
                <w:sz w:val="21"/>
                <w:szCs w:val="21"/>
                <w:lang w:val="en-US" w:eastAsia="zh-CN" w:bidi="ar"/>
              </w:rPr>
              <w:t>①建设不少于任务清单要求的示范基地数，基地合同期不少于</w:t>
            </w:r>
            <w:r>
              <w:rPr>
                <w:rStyle w:val="10"/>
                <w:rFonts w:hint="eastAsia"/>
                <w:sz w:val="21"/>
                <w:szCs w:val="21"/>
                <w:lang w:val="en-US" w:eastAsia="zh-CN" w:bidi="ar"/>
              </w:rPr>
              <w:t>3</w:t>
            </w:r>
            <w:r>
              <w:rPr>
                <w:rStyle w:val="10"/>
                <w:sz w:val="21"/>
                <w:szCs w:val="21"/>
                <w:lang w:val="en-US" w:eastAsia="zh-CN" w:bidi="ar"/>
              </w:rPr>
              <w:t>年或拥有自主产权，得4分；每少1个基地或基地稳定性不足的，扣2分，扣完为止。②制定示范基地运行管理办法、示范方案（协议）、树立统一式样基地标牌的，得3分；每少一项扣2分，扣完为止。③基地年开展农业主推技术试验示范不低于3项、开展观摩、培训次数不少于4次的，得3分；每有1个基地有一项未达到要求的，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10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E/>
              <w:autoSpaceDN/>
              <w:bidi w:val="0"/>
              <w:spacing w:line="608" w:lineRule="exact"/>
              <w:jc w:val="left"/>
              <w:rPr>
                <w:rFonts w:hint="eastAsia" w:ascii="宋体" w:hAnsi="宋体" w:eastAsia="宋体" w:cs="宋体"/>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农业科技示范主体培育</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6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sz w:val="21"/>
                <w:szCs w:val="21"/>
                <w:u w:val="none"/>
              </w:rPr>
            </w:pPr>
            <w:r>
              <w:rPr>
                <w:rStyle w:val="10"/>
                <w:sz w:val="21"/>
                <w:szCs w:val="21"/>
                <w:lang w:val="en-US" w:eastAsia="zh-CN" w:bidi="ar"/>
              </w:rPr>
              <w:t>①制定科技示范主体遴选办法，明确每个乡镇（区域）农技站培育农业科技示范主体数不低于10个的，得2分；示范主体数低于5个不得分。②全县建立农业科技示范主体指导档案，规范科技示范主体管理服务的，得1分；否则不得分。③示范主体的示范带动效果共2分，提供5个以上科技示范主体增产增收典型材料，每个示范主体至少带动周边10-20个农户，可综合考虑实际情况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5" w:hRule="atLeast"/>
        </w:trPr>
        <w:tc>
          <w:tcPr>
            <w:tcW w:w="10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E/>
              <w:autoSpaceDN/>
              <w:bidi w:val="0"/>
              <w:spacing w:line="608" w:lineRule="exact"/>
              <w:jc w:val="left"/>
              <w:rPr>
                <w:rFonts w:hint="eastAsia" w:ascii="宋体" w:hAnsi="宋体" w:eastAsia="宋体" w:cs="宋体"/>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农业主推技术示范推广</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6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①正式推介发布年度农业主推技术，制定技术操作规范的，得4分；否则不得分。②组建农业主推技术指导团队，公开选聘技术指导员，明确技术指导员服务范围和工作任务，制定技术指导员绩效考评办法的，得3分；否则不得分。③依托示范基地对主推技术进行示范展示，且数量不低于主推技术总数40%的；通过网络、广播、电视、报纸等媒体及现场观摩等方式对农业主推技术进行宣传推介和推广的；对有应用主推技术意愿的农业科技示范主体及其他农业生产经营者给予有效指导的；完成农业优质绿色高效技术模式推广应用任务的，得3分。可综合考虑实际情况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trPr>
        <w:tc>
          <w:tcPr>
            <w:tcW w:w="10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农技推广信息化建设（15分）</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信息化管理</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6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综合项目实施在线填报、动态信息报送等对外展示情况评分。其中，项目县动态信息报送数量7条以上，省级审核通过率90%以上，部级审核通过6条以上得5分；低于4条不得分。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1" w:hRule="atLeast"/>
        </w:trPr>
        <w:tc>
          <w:tcPr>
            <w:tcW w:w="10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E/>
              <w:autoSpaceDN/>
              <w:bidi w:val="0"/>
              <w:spacing w:line="608" w:lineRule="exact"/>
              <w:jc w:val="left"/>
              <w:rPr>
                <w:rFonts w:hint="eastAsia" w:ascii="宋体" w:hAnsi="宋体" w:eastAsia="宋体" w:cs="宋体"/>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信息化平台应用</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6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①安装使用中国农技推广APP的农技人员、示范主体比例不低于85%的，得4分，每低1个百分点扣1分，扣完为止。②农技人员使用中国农技推广APP每月报送有效日志、农情信息人均不少于2条的，得4分，否则不得分。③基层农技推广体系管理信息系统填报率100%的，得2分，每低1个百分点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trPr>
        <w:tc>
          <w:tcPr>
            <w:tcW w:w="10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服务对象评价情况</w:t>
            </w:r>
          </w:p>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（10分）</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农业科技示范主体评价</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6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项目县农业科技示范主体满意度不低于95%的，得3分，每低1个百分点扣1分，扣完为止。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4" w:hRule="atLeast"/>
        </w:trPr>
        <w:tc>
          <w:tcPr>
            <w:tcW w:w="10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E/>
              <w:autoSpaceDN/>
              <w:bidi w:val="0"/>
              <w:spacing w:line="608" w:lineRule="exact"/>
              <w:jc w:val="left"/>
              <w:rPr>
                <w:rFonts w:hint="eastAsia" w:ascii="宋体" w:hAnsi="宋体" w:eastAsia="宋体" w:cs="宋体"/>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公共服务对象评价</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6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农技推广公共服务对象抽样满意度不低于70%的得7分，每降低1个百分点扣1分，扣完为止。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10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sz w:val="21"/>
                <w:szCs w:val="21"/>
                <w:u w:val="none"/>
              </w:rPr>
            </w:pPr>
            <w:r>
              <w:rPr>
                <w:rStyle w:val="11"/>
                <w:sz w:val="21"/>
                <w:szCs w:val="21"/>
                <w:lang w:val="en-US" w:eastAsia="zh-CN" w:bidi="ar"/>
              </w:rPr>
              <w:t>项目组织管理（25分）</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组织领导情况</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6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①加强对农技推广项目实施的组织协调，基层农技推广体系改革与建设领导组织健全，行业配合良好的，得5分。可综合实际情况打分。②加强对巩固脱贫攻坚成果与乡村振兴衔接的组织领导，技术服务团队健全，得5分。可综合实际情况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10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E/>
              <w:autoSpaceDN/>
              <w:bidi w:val="0"/>
              <w:spacing w:line="608" w:lineRule="exact"/>
              <w:jc w:val="left"/>
              <w:rPr>
                <w:rFonts w:hint="eastAsia" w:ascii="宋体" w:hAnsi="宋体" w:eastAsia="宋体" w:cs="宋体"/>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资金管理情况</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6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①项目的开支设有专账得3分，不设不得分。②资金的拨付有完整的审批程序和手续得5分，可综合实际情况打分。③财务管理制度按规定有效执行得2分，可综合实际情况打分分。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10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E/>
              <w:autoSpaceDN/>
              <w:bidi w:val="0"/>
              <w:spacing w:line="608" w:lineRule="exact"/>
              <w:jc w:val="left"/>
              <w:rPr>
                <w:rFonts w:hint="eastAsia" w:ascii="宋体" w:hAnsi="宋体" w:eastAsia="宋体" w:cs="宋体"/>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绩效管理情况</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6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积极配合省、市做好项目实施情况调度、绩效管理评价，认真上报农技推广补助项目有关材料情况的，得5分。可综合实际情况打分。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7" w:hRule="atLeast"/>
        </w:trPr>
        <w:tc>
          <w:tcPr>
            <w:tcW w:w="10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激励加减分项</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领导肯定性批示</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6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获得省部级及以上领导肯定性批示1次加5分；获得地市级领导的肯定性批示1次加3分；获得县级主要领导肯定性批示1次加1分。以上最多加10分。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7" w:hRule="atLeast"/>
        </w:trPr>
        <w:tc>
          <w:tcPr>
            <w:tcW w:w="10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E/>
              <w:autoSpaceDN/>
              <w:bidi w:val="0"/>
              <w:spacing w:line="608" w:lineRule="exact"/>
              <w:jc w:val="left"/>
              <w:rPr>
                <w:rFonts w:hint="eastAsia" w:ascii="宋体" w:hAnsi="宋体" w:eastAsia="宋体" w:cs="宋体"/>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正面宣传报道</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6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中央主要媒体予以重点报道1篇加5分；省级主要媒体予以重点报道1篇加3分；农业农村部（厅）信息、简报采纳1篇得2分。以上最多加10分。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10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E/>
              <w:autoSpaceDN/>
              <w:bidi w:val="0"/>
              <w:spacing w:line="608" w:lineRule="exact"/>
              <w:jc w:val="left"/>
              <w:rPr>
                <w:rFonts w:hint="eastAsia" w:ascii="宋体" w:hAnsi="宋体" w:eastAsia="宋体" w:cs="宋体"/>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负面工作情况</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E/>
              <w:autoSpaceDN/>
              <w:bidi w:val="0"/>
              <w:spacing w:line="608" w:lineRule="exact"/>
              <w:jc w:val="center"/>
              <w:rPr>
                <w:rFonts w:hint="eastAsia" w:ascii="宋体" w:hAnsi="宋体" w:eastAsia="宋体" w:cs="宋体"/>
                <w:i w:val="0"/>
                <w:color w:val="000000"/>
                <w:sz w:val="21"/>
                <w:szCs w:val="21"/>
                <w:u w:val="none"/>
              </w:rPr>
            </w:pPr>
          </w:p>
        </w:tc>
        <w:tc>
          <w:tcPr>
            <w:tcW w:w="6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autoSpaceDE/>
              <w:autoSpaceDN/>
              <w:bidi w:val="0"/>
              <w:spacing w:line="608" w:lineRule="exact"/>
              <w:jc w:val="left"/>
              <w:textAlignment w:val="center"/>
              <w:rPr>
                <w:rFonts w:hint="eastAsia" w:ascii="宋体" w:hAnsi="宋体" w:eastAsia="宋体" w:cs="宋体"/>
                <w:i w:val="0"/>
                <w:color w:val="000000"/>
                <w:sz w:val="21"/>
                <w:szCs w:val="21"/>
                <w:u w:val="none"/>
              </w:rPr>
            </w:pPr>
            <w:r>
              <w:rPr>
                <w:rStyle w:val="10"/>
                <w:sz w:val="21"/>
                <w:szCs w:val="21"/>
                <w:lang w:val="en-US" w:eastAsia="zh-CN" w:bidi="ar"/>
              </w:rPr>
              <w:t>项目实施有投诉事件、媒体负面报道并核查属实的;绩效管理中有弄虚作假行为的;在基层农技推广体系改革与建设工作中存在重大违法违规行为并造成恶劣影响的，实行一票否决，总体评分为0分。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5" w:hRule="atLeast"/>
        </w:trPr>
        <w:tc>
          <w:tcPr>
            <w:tcW w:w="8940" w:type="dxa"/>
            <w:gridSpan w:val="4"/>
            <w:tcBorders>
              <w:top w:val="nil"/>
              <w:left w:val="nil"/>
              <w:bottom w:val="nil"/>
              <w:right w:val="nil"/>
            </w:tcBorders>
            <w:noWrap w:val="0"/>
            <w:vAlign w:val="center"/>
          </w:tcPr>
          <w:p>
            <w:pPr>
              <w:keepNext w:val="0"/>
              <w:keepLines w:val="0"/>
              <w:pageBreakBefore w:val="0"/>
              <w:widowControl/>
              <w:suppressLineNumbers w:val="0"/>
              <w:kinsoku/>
              <w:wordWrap/>
              <w:topLinePunct w:val="0"/>
              <w:autoSpaceDE/>
              <w:autoSpaceDN/>
              <w:bidi w:val="0"/>
              <w:spacing w:line="608"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注：1.以上考评指标适用于对县（区）农技推广补助项目主要任务的绩效考评，合计分值100分（不含激励加减分）；2.全省农业主推技术到位率=完成年度农业主推技术推介任务的农业县数/农业县总数*100%（完成年度农业主推技术推介任务的农业县应符合三个条件：一是遴选并正式发布年度农业主推技术；二是通过农业示范展示基地，网络、广播、电视、报纸等媒体以及现场观摩等方式对农业主推技术进行宣传推介和推广应用；三是对县内有应用主推技术意愿的农业科技示范主体及其他农业生产经营者给予有效指导）。</w:t>
            </w:r>
          </w:p>
        </w:tc>
      </w:tr>
    </w:tbl>
    <w:p>
      <w:pPr>
        <w:keepNext w:val="0"/>
        <w:keepLines w:val="0"/>
        <w:pageBreakBefore w:val="0"/>
        <w:kinsoku/>
        <w:wordWrap/>
        <w:topLinePunct w:val="0"/>
        <w:autoSpaceDE/>
        <w:autoSpaceDN/>
        <w:bidi w:val="0"/>
        <w:spacing w:line="608" w:lineRule="exact"/>
        <w:ind w:firstLine="1600" w:firstLineChars="500"/>
        <w:rPr>
          <w:rFonts w:hint="default" w:ascii="仿宋_GB2312" w:eastAsia="仿宋_GB2312" w:cs="Times New Roman"/>
          <w:sz w:val="32"/>
          <w:szCs w:val="32"/>
        </w:rPr>
      </w:pPr>
    </w:p>
    <w:p>
      <w:pPr>
        <w:keepNext w:val="0"/>
        <w:keepLines w:val="0"/>
        <w:pageBreakBefore w:val="0"/>
        <w:kinsoku/>
        <w:wordWrap/>
        <w:topLinePunct w:val="0"/>
        <w:autoSpaceDE/>
        <w:autoSpaceDN/>
        <w:bidi w:val="0"/>
        <w:spacing w:line="608" w:lineRule="exact"/>
        <w:ind w:firstLine="1600" w:firstLineChars="500"/>
        <w:rPr>
          <w:rFonts w:hint="default" w:ascii="仿宋_GB2312" w:eastAsia="仿宋_GB2312" w:cs="Times New Roman"/>
          <w:sz w:val="32"/>
          <w:szCs w:val="32"/>
        </w:rPr>
      </w:pPr>
    </w:p>
    <w:p>
      <w:pPr>
        <w:keepNext w:val="0"/>
        <w:keepLines w:val="0"/>
        <w:pageBreakBefore w:val="0"/>
        <w:kinsoku/>
        <w:wordWrap/>
        <w:topLinePunct w:val="0"/>
        <w:autoSpaceDE/>
        <w:autoSpaceDN/>
        <w:bidi w:val="0"/>
        <w:spacing w:line="608" w:lineRule="exact"/>
        <w:ind w:firstLine="1600" w:firstLineChars="500"/>
        <w:rPr>
          <w:rFonts w:hint="default" w:ascii="仿宋_GB2312" w:eastAsia="仿宋_GB2312" w:cs="Times New Roman"/>
          <w:sz w:val="32"/>
          <w:szCs w:val="32"/>
        </w:rPr>
      </w:pPr>
    </w:p>
    <w:p>
      <w:pPr>
        <w:keepNext w:val="0"/>
        <w:keepLines w:val="0"/>
        <w:pageBreakBefore w:val="0"/>
        <w:kinsoku/>
        <w:wordWrap/>
        <w:topLinePunct w:val="0"/>
        <w:autoSpaceDE/>
        <w:autoSpaceDN/>
        <w:bidi w:val="0"/>
        <w:spacing w:line="608" w:lineRule="exact"/>
        <w:ind w:firstLine="1600" w:firstLineChars="500"/>
        <w:rPr>
          <w:rFonts w:hint="default" w:ascii="仿宋_GB2312" w:eastAsia="仿宋_GB2312" w:cs="Times New Roman"/>
          <w:sz w:val="32"/>
          <w:szCs w:val="32"/>
        </w:rPr>
      </w:pPr>
    </w:p>
    <w:p>
      <w:pPr>
        <w:keepNext w:val="0"/>
        <w:keepLines w:val="0"/>
        <w:pageBreakBefore w:val="0"/>
        <w:kinsoku/>
        <w:wordWrap/>
        <w:topLinePunct w:val="0"/>
        <w:autoSpaceDE/>
        <w:autoSpaceDN/>
        <w:bidi w:val="0"/>
        <w:spacing w:line="608" w:lineRule="exact"/>
        <w:ind w:firstLine="1600" w:firstLineChars="500"/>
        <w:rPr>
          <w:rFonts w:hint="default" w:ascii="仿宋_GB2312" w:eastAsia="仿宋_GB2312" w:cs="Times New Roman"/>
          <w:sz w:val="32"/>
          <w:szCs w:val="32"/>
        </w:rPr>
      </w:pPr>
    </w:p>
    <w:p>
      <w:pPr>
        <w:keepNext w:val="0"/>
        <w:keepLines w:val="0"/>
        <w:pageBreakBefore w:val="0"/>
        <w:kinsoku/>
        <w:wordWrap/>
        <w:topLinePunct w:val="0"/>
        <w:autoSpaceDE/>
        <w:autoSpaceDN/>
        <w:bidi w:val="0"/>
        <w:spacing w:line="608" w:lineRule="exact"/>
        <w:ind w:firstLine="1600" w:firstLineChars="500"/>
        <w:rPr>
          <w:rFonts w:hint="default" w:ascii="仿宋_GB2312" w:eastAsia="仿宋_GB2312" w:cs="Times New Roman"/>
          <w:sz w:val="32"/>
          <w:szCs w:val="32"/>
        </w:rPr>
      </w:pPr>
    </w:p>
    <w:p>
      <w:pPr>
        <w:keepNext w:val="0"/>
        <w:keepLines w:val="0"/>
        <w:pageBreakBefore w:val="0"/>
        <w:kinsoku/>
        <w:wordWrap/>
        <w:topLinePunct w:val="0"/>
        <w:autoSpaceDE/>
        <w:autoSpaceDN/>
        <w:bidi w:val="0"/>
        <w:spacing w:line="608" w:lineRule="exact"/>
        <w:ind w:firstLine="1600" w:firstLineChars="500"/>
        <w:rPr>
          <w:rFonts w:hint="default" w:asci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8" w:lineRule="exact"/>
        <w:jc w:val="left"/>
        <w:textAlignment w:val="auto"/>
        <w:rPr>
          <w:rFonts w:hint="eastAsia" w:ascii="CESI仿宋-GB2312" w:hAnsi="CESI仿宋-GB2312" w:eastAsia="CESI仿宋-GB2312" w:cs="CESI仿宋-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8" w:lineRule="exact"/>
        <w:jc w:val="left"/>
        <w:textAlignment w:val="auto"/>
        <w:rPr>
          <w:rFonts w:hint="eastAsia" w:ascii="CESI仿宋-GB2312" w:hAnsi="CESI仿宋-GB2312" w:eastAsia="CESI仿宋-GB2312" w:cs="CESI仿宋-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8" w:lineRule="exact"/>
        <w:jc w:val="left"/>
        <w:textAlignment w:val="auto"/>
        <w:rPr>
          <w:rFonts w:hint="eastAsia" w:ascii="CESI仿宋-GB2312" w:hAnsi="CESI仿宋-GB2312" w:eastAsia="CESI仿宋-GB2312" w:cs="CESI仿宋-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8" w:lineRule="exact"/>
        <w:jc w:val="left"/>
        <w:textAlignment w:val="auto"/>
        <w:rPr>
          <w:rFonts w:hint="eastAsia" w:ascii="CESI仿宋-GB2312" w:hAnsi="CESI仿宋-GB2312" w:eastAsia="CESI仿宋-GB2312" w:cs="CESI仿宋-GB2312"/>
          <w:b/>
          <w:bCs/>
          <w:sz w:val="32"/>
          <w:szCs w:val="32"/>
          <w:lang w:val="en-US" w:eastAsia="zh-CN"/>
        </w:rPr>
        <w:sectPr>
          <w:footerReference r:id="rId4" w:type="default"/>
          <w:pgSz w:w="11906" w:h="16838"/>
          <w:pgMar w:top="1701" w:right="1417" w:bottom="1701" w:left="1701" w:header="851" w:footer="992" w:gutter="0"/>
          <w:pgBorders w:offsetFrom="page">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8" w:lineRule="exact"/>
        <w:textAlignment w:val="auto"/>
        <w:rPr>
          <w:rFonts w:hint="eastAsia" w:ascii="仿宋_GB2312" w:eastAsia="仿宋_GB2312" w:cs="Times New Roman"/>
          <w:sz w:val="32"/>
          <w:szCs w:val="32"/>
          <w:lang w:val="en-US" w:eastAsia="zh-CN"/>
        </w:rPr>
      </w:pPr>
      <w:r>
        <w:rPr>
          <w:rFonts w:hint="eastAsia" w:ascii="仿宋_GB2312" w:eastAsia="仿宋_GB2312" w:cs="Times New Roman"/>
          <w:sz w:val="32"/>
          <w:szCs w:val="32"/>
          <w:lang w:eastAsia="zh-CN"/>
        </w:rPr>
        <w:t>附件</w:t>
      </w:r>
      <w:r>
        <w:rPr>
          <w:rFonts w:hint="eastAsia" w:ascii="仿宋_GB2312" w:eastAsia="仿宋_GB2312"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after="157" w:afterLines="50" w:line="608" w:lineRule="exact"/>
        <w:jc w:val="center"/>
        <w:textAlignment w:val="auto"/>
        <w:outlineLvl w:val="0"/>
        <w:rPr>
          <w:rFonts w:ascii="方正小标宋简体" w:hAnsi="方正小标宋简体" w:eastAsia="方正小标宋简体"/>
          <w:bCs/>
          <w:kern w:val="0"/>
          <w:sz w:val="44"/>
          <w:szCs w:val="44"/>
        </w:rPr>
      </w:pPr>
      <w:r>
        <w:rPr>
          <w:rFonts w:hint="eastAsia" w:ascii="方正小标宋简体" w:hAnsi="方正小标宋简体" w:eastAsia="方正小标宋简体"/>
          <w:bCs/>
          <w:kern w:val="0"/>
          <w:sz w:val="44"/>
          <w:szCs w:val="44"/>
          <w:lang w:val="en-US" w:eastAsia="zh-CN"/>
        </w:rPr>
        <w:t>2023年</w:t>
      </w:r>
      <w:r>
        <w:rPr>
          <w:rFonts w:hint="eastAsia" w:ascii="方正小标宋简体" w:hAnsi="方正小标宋简体" w:eastAsia="方正小标宋简体"/>
          <w:bCs/>
          <w:kern w:val="0"/>
          <w:sz w:val="44"/>
          <w:szCs w:val="44"/>
        </w:rPr>
        <w:t>基层农技推广体系改革与建设补助项目线上</w:t>
      </w:r>
      <w:r>
        <w:rPr>
          <w:rFonts w:hint="eastAsia" w:ascii="方正小标宋简体" w:hAnsi="方正小标宋简体" w:eastAsia="方正小标宋简体"/>
          <w:bCs/>
          <w:kern w:val="0"/>
          <w:sz w:val="44"/>
          <w:szCs w:val="44"/>
          <w:lang w:eastAsia="zh-CN"/>
        </w:rPr>
        <w:t>评估</w:t>
      </w:r>
      <w:r>
        <w:rPr>
          <w:rFonts w:hint="eastAsia" w:ascii="方正小标宋简体" w:hAnsi="方正小标宋简体" w:eastAsia="方正小标宋简体"/>
          <w:bCs/>
          <w:kern w:val="0"/>
          <w:sz w:val="44"/>
          <w:szCs w:val="44"/>
        </w:rPr>
        <w:t>评分标准</w:t>
      </w:r>
    </w:p>
    <w:tbl>
      <w:tblPr>
        <w:tblStyle w:val="6"/>
        <w:tblW w:w="13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0"/>
        <w:gridCol w:w="854"/>
        <w:gridCol w:w="10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00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指标</w:t>
            </w:r>
          </w:p>
        </w:tc>
        <w:tc>
          <w:tcPr>
            <w:tcW w:w="854"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分值</w:t>
            </w:r>
          </w:p>
        </w:tc>
        <w:tc>
          <w:tcPr>
            <w:tcW w:w="10092" w:type="dxa"/>
            <w:noWrap w:val="0"/>
            <w:vAlign w:val="top"/>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300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工作动态报送情况</w:t>
            </w:r>
          </w:p>
        </w:tc>
        <w:tc>
          <w:tcPr>
            <w:tcW w:w="854"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0</w:t>
            </w:r>
          </w:p>
        </w:tc>
        <w:tc>
          <w:tcPr>
            <w:tcW w:w="10092" w:type="dxa"/>
            <w:noWrap w:val="0"/>
            <w:vAlign w:val="top"/>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各项目县每县报送7条有效动态得5分，报送5条得3分，报送3条得2分；省部级审核通过率超过90%得3分，超过80%得2分，超过70%得1分；所有工作动态标题、报送单位、图片等信息均完整得</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300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组织管理工作动态与文件报送</w:t>
            </w:r>
          </w:p>
        </w:tc>
        <w:tc>
          <w:tcPr>
            <w:tcW w:w="854"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center"/>
              <w:textAlignment w:val="auto"/>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10</w:t>
            </w:r>
          </w:p>
        </w:tc>
        <w:tc>
          <w:tcPr>
            <w:tcW w:w="10092" w:type="dxa"/>
            <w:noWrap w:val="0"/>
            <w:vAlign w:val="top"/>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每个项目县平均至少报送1条组织管理动态得2分；每个项目县平均至少报送1条文件材料得2分；工作动态和文件材料中包含补助项目实施、主推技术、特聘计划、培训等佐证材</w:t>
            </w:r>
            <w:r>
              <w:rPr>
                <w:rFonts w:hint="eastAsia" w:ascii="宋体" w:hAnsi="宋体" w:eastAsia="宋体" w:cs="宋体"/>
                <w:color w:val="000000" w:themeColor="text1"/>
                <w:sz w:val="21"/>
                <w:szCs w:val="21"/>
                <w14:textFill>
                  <w14:solidFill>
                    <w14:schemeClr w14:val="tx1"/>
                  </w14:solidFill>
                </w14:textFill>
              </w:rPr>
              <w:t>料</w:t>
            </w:r>
            <w:r>
              <w:rPr>
                <w:rFonts w:hint="eastAsia" w:ascii="宋体" w:hAnsi="宋体" w:cs="宋体"/>
                <w:color w:val="000000" w:themeColor="text1"/>
                <w:sz w:val="21"/>
                <w:szCs w:val="21"/>
                <w:lang w:val="en-US" w:eastAsia="zh-CN"/>
                <w14:textFill>
                  <w14:solidFill>
                    <w14:schemeClr w14:val="tx1"/>
                  </w14:solidFill>
                </w14:textFill>
              </w:rPr>
              <w:t>各</w:t>
            </w:r>
            <w:r>
              <w:rPr>
                <w:rFonts w:hint="eastAsia" w:ascii="宋体" w:hAnsi="宋体" w:eastAsia="宋体" w:cs="宋体"/>
                <w:color w:val="000000" w:themeColor="text1"/>
                <w:sz w:val="21"/>
                <w:szCs w:val="21"/>
                <w14:textFill>
                  <w14:solidFill>
                    <w14:schemeClr w14:val="tx1"/>
                  </w14:solidFill>
                </w14:textFill>
              </w:rPr>
              <w:t>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300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农技人员培训</w:t>
            </w:r>
          </w:p>
        </w:tc>
        <w:tc>
          <w:tcPr>
            <w:tcW w:w="854"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10092" w:type="dxa"/>
            <w:noWrap w:val="0"/>
            <w:vAlign w:val="top"/>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lang w:eastAsia="zh-CN"/>
              </w:rPr>
              <w:t>各市县完成分级培训得</w:t>
            </w:r>
            <w:r>
              <w:rPr>
                <w:rFonts w:hint="eastAsia" w:ascii="宋体" w:hAnsi="宋体" w:eastAsia="宋体" w:cs="宋体"/>
                <w:color w:val="000000"/>
                <w:sz w:val="21"/>
                <w:szCs w:val="21"/>
                <w:lang w:val="en-US" w:eastAsia="zh-CN"/>
              </w:rPr>
              <w:t>2分，</w:t>
            </w:r>
            <w:r>
              <w:rPr>
                <w:rFonts w:hint="eastAsia" w:ascii="宋体" w:hAnsi="宋体" w:eastAsia="宋体" w:cs="宋体"/>
                <w:color w:val="000000"/>
                <w:sz w:val="21"/>
                <w:szCs w:val="21"/>
              </w:rPr>
              <w:t>完成培训任务得5分，完成70%以上培训任务得3分，完成50%以上培训任务得2分，完成30%以下培训任务不得分；培训人数、培训手册、签到表、档案表、照片、培训内容等信息均完整</w:t>
            </w:r>
            <w:r>
              <w:rPr>
                <w:rFonts w:hint="eastAsia" w:ascii="宋体" w:hAnsi="宋体" w:eastAsia="宋体" w:cs="宋体"/>
                <w:color w:val="000000"/>
                <w:sz w:val="21"/>
                <w:szCs w:val="21"/>
                <w:lang w:eastAsia="zh-CN"/>
              </w:rPr>
              <w:t>得</w:t>
            </w:r>
            <w:r>
              <w:rPr>
                <w:rFonts w:hint="eastAsia" w:ascii="宋体" w:hAnsi="宋体" w:eastAsia="宋体" w:cs="宋体"/>
                <w:color w:val="000000"/>
                <w:sz w:val="21"/>
                <w:szCs w:val="21"/>
              </w:rPr>
              <w:t>3分，每少一项扣0.5分。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300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特聘计划实施</w:t>
            </w:r>
          </w:p>
        </w:tc>
        <w:tc>
          <w:tcPr>
            <w:tcW w:w="854"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10092" w:type="dxa"/>
            <w:noWrap w:val="0"/>
            <w:vAlign w:val="top"/>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themeColor="text1"/>
                <w:sz w:val="21"/>
                <w:szCs w:val="21"/>
                <w14:textFill>
                  <w14:solidFill>
                    <w14:schemeClr w14:val="tx1"/>
                  </w14:solidFill>
                </w14:textFill>
              </w:rPr>
              <w:t>项目县</w:t>
            </w:r>
            <w:r>
              <w:rPr>
                <w:rFonts w:hint="eastAsia" w:ascii="宋体" w:hAnsi="宋体" w:cs="宋体"/>
                <w:color w:val="000000" w:themeColor="text1"/>
                <w:sz w:val="21"/>
                <w:szCs w:val="21"/>
                <w:lang w:val="en-US" w:eastAsia="zh-CN"/>
                <w14:textFill>
                  <w14:solidFill>
                    <w14:schemeClr w14:val="tx1"/>
                  </w14:solidFill>
                </w14:textFill>
              </w:rPr>
              <w:t>特聘计划</w:t>
            </w:r>
            <w:r>
              <w:rPr>
                <w:rFonts w:hint="eastAsia" w:ascii="宋体" w:hAnsi="宋体" w:eastAsia="宋体" w:cs="宋体"/>
                <w:color w:val="000000" w:themeColor="text1"/>
                <w:sz w:val="21"/>
                <w:szCs w:val="21"/>
                <w14:textFill>
                  <w14:solidFill>
                    <w14:schemeClr w14:val="tx1"/>
                  </w14:solidFill>
                </w14:textFill>
              </w:rPr>
              <w:t>任务</w:t>
            </w:r>
            <w:r>
              <w:rPr>
                <w:rFonts w:hint="eastAsia" w:ascii="宋体" w:hAnsi="宋体" w:cs="宋体"/>
                <w:color w:val="000000" w:themeColor="text1"/>
                <w:sz w:val="21"/>
                <w:szCs w:val="21"/>
                <w:lang w:val="en-US" w:eastAsia="zh-CN"/>
                <w14:textFill>
                  <w14:solidFill>
                    <w14:schemeClr w14:val="tx1"/>
                  </w14:solidFill>
                </w14:textFill>
              </w:rPr>
              <w:t>全部完成得5分</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完成9</w:t>
            </w:r>
            <w:r>
              <w:rPr>
                <w:rFonts w:hint="eastAsia" w:ascii="宋体" w:hAnsi="宋体" w:eastAsia="宋体" w:cs="宋体"/>
                <w:color w:val="000000" w:themeColor="text1"/>
                <w:sz w:val="21"/>
                <w:szCs w:val="21"/>
                <w14:textFill>
                  <w14:solidFill>
                    <w14:schemeClr w14:val="tx1"/>
                  </w14:solidFill>
                </w14:textFill>
              </w:rPr>
              <w:t>0%以上得</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分，完成</w:t>
            </w:r>
            <w:r>
              <w:rPr>
                <w:rFonts w:hint="eastAsia" w:ascii="宋体" w:hAnsi="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0%以上得</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分</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完成</w:t>
            </w:r>
            <w:r>
              <w:rPr>
                <w:rFonts w:hint="eastAsia" w:ascii="宋体" w:hAnsi="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0%以上得</w:t>
            </w:r>
            <w:r>
              <w:rPr>
                <w:rFonts w:hint="eastAsia" w:ascii="宋体" w:hAnsi="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分</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0%以下不得分</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签订服务协议开展工作得5分。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300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示范基地建设</w:t>
            </w:r>
          </w:p>
        </w:tc>
        <w:tc>
          <w:tcPr>
            <w:tcW w:w="854"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cs="宋体"/>
                <w:color w:val="000000" w:themeColor="text1"/>
                <w:sz w:val="21"/>
                <w:szCs w:val="21"/>
                <w:lang w:val="en-US" w:eastAsia="zh-CN"/>
                <w14:textFill>
                  <w14:solidFill>
                    <w14:schemeClr w14:val="tx1"/>
                  </w14:solidFill>
                </w14:textFill>
              </w:rPr>
              <w:t>5</w:t>
            </w:r>
          </w:p>
        </w:tc>
        <w:tc>
          <w:tcPr>
            <w:tcW w:w="10092" w:type="dxa"/>
            <w:noWrap w:val="0"/>
            <w:vAlign w:val="top"/>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left"/>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平均每个项目县建设至少2个示范基地得</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分；所有基地标牌均符合</w:t>
            </w:r>
            <w:r>
              <w:rPr>
                <w:rFonts w:hint="eastAsia" w:ascii="宋体" w:hAnsi="宋体" w:eastAsia="宋体" w:cs="宋体"/>
                <w:color w:val="000000" w:themeColor="text1"/>
                <w:sz w:val="21"/>
                <w:szCs w:val="21"/>
                <w:lang w:eastAsia="zh-CN"/>
                <w14:textFill>
                  <w14:solidFill>
                    <w14:schemeClr w14:val="tx1"/>
                  </w14:solidFill>
                </w14:textFill>
              </w:rPr>
              <w:t>要求的</w:t>
            </w:r>
            <w:r>
              <w:rPr>
                <w:rFonts w:hint="eastAsia" w:ascii="宋体" w:hAnsi="宋体" w:eastAsia="宋体" w:cs="宋体"/>
                <w:color w:val="000000" w:themeColor="text1"/>
                <w:sz w:val="21"/>
                <w:szCs w:val="21"/>
                <w14:textFill>
                  <w14:solidFill>
                    <w14:schemeClr w14:val="tx1"/>
                  </w14:solidFill>
                </w14:textFill>
              </w:rPr>
              <w:t>得6分，90%以上符合</w:t>
            </w:r>
            <w:r>
              <w:rPr>
                <w:rFonts w:hint="eastAsia" w:ascii="宋体" w:hAnsi="宋体" w:eastAsia="宋体" w:cs="宋体"/>
                <w:color w:val="000000" w:themeColor="text1"/>
                <w:sz w:val="21"/>
                <w:szCs w:val="21"/>
                <w:lang w:eastAsia="zh-CN"/>
                <w14:textFill>
                  <w14:solidFill>
                    <w14:schemeClr w14:val="tx1"/>
                  </w14:solidFill>
                </w14:textFill>
              </w:rPr>
              <w:t>要求的</w:t>
            </w:r>
            <w:r>
              <w:rPr>
                <w:rFonts w:hint="eastAsia" w:ascii="宋体" w:hAnsi="宋体" w:eastAsia="宋体" w:cs="宋体"/>
                <w:color w:val="000000" w:themeColor="text1"/>
                <w:sz w:val="21"/>
                <w:szCs w:val="21"/>
                <w14:textFill>
                  <w14:solidFill>
                    <w14:schemeClr w14:val="tx1"/>
                  </w14:solidFill>
                </w14:textFill>
              </w:rPr>
              <w:t>得4分，80%以上符合</w:t>
            </w:r>
            <w:r>
              <w:rPr>
                <w:rFonts w:hint="eastAsia" w:ascii="宋体" w:hAnsi="宋体" w:eastAsia="宋体" w:cs="宋体"/>
                <w:color w:val="000000" w:themeColor="text1"/>
                <w:sz w:val="21"/>
                <w:szCs w:val="21"/>
                <w:lang w:eastAsia="zh-CN"/>
                <w14:textFill>
                  <w14:solidFill>
                    <w14:schemeClr w14:val="tx1"/>
                  </w14:solidFill>
                </w14:textFill>
              </w:rPr>
              <w:t>要求的</w:t>
            </w:r>
            <w:r>
              <w:rPr>
                <w:rFonts w:hint="eastAsia" w:ascii="宋体" w:hAnsi="宋体" w:eastAsia="宋体" w:cs="宋体"/>
                <w:color w:val="000000" w:themeColor="text1"/>
                <w:sz w:val="21"/>
                <w:szCs w:val="21"/>
                <w14:textFill>
                  <w14:solidFill>
                    <w14:schemeClr w14:val="tx1"/>
                  </w14:solidFill>
                </w14:textFill>
              </w:rPr>
              <w:t>范得2分，70%以下不得分；所有示范基地均推广一项</w:t>
            </w:r>
            <w:r>
              <w:rPr>
                <w:rFonts w:hint="eastAsia" w:ascii="宋体" w:hAnsi="宋体" w:eastAsia="宋体" w:cs="宋体"/>
                <w:color w:val="000000" w:themeColor="text1"/>
                <w:sz w:val="21"/>
                <w:szCs w:val="21"/>
                <w:lang w:eastAsia="zh-CN"/>
                <w14:textFill>
                  <w14:solidFill>
                    <w14:schemeClr w14:val="tx1"/>
                  </w14:solidFill>
                </w14:textFill>
              </w:rPr>
              <w:t>以上的</w:t>
            </w:r>
            <w:r>
              <w:rPr>
                <w:rFonts w:hint="eastAsia" w:ascii="宋体" w:hAnsi="宋体" w:eastAsia="宋体" w:cs="宋体"/>
                <w:color w:val="000000" w:themeColor="text1"/>
                <w:sz w:val="21"/>
                <w:szCs w:val="21"/>
                <w14:textFill>
                  <w14:solidFill>
                    <w14:schemeClr w14:val="tx1"/>
                  </w14:solidFill>
                </w14:textFill>
              </w:rPr>
              <w:t>主推技术得</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分，</w:t>
            </w:r>
            <w:r>
              <w:rPr>
                <w:rFonts w:hint="eastAsia" w:ascii="宋体" w:hAnsi="宋体" w:eastAsia="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0%以上得</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分，70%以下不得分。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300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主推技术到位率</w:t>
            </w:r>
          </w:p>
        </w:tc>
        <w:tc>
          <w:tcPr>
            <w:tcW w:w="854"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15</w:t>
            </w:r>
          </w:p>
        </w:tc>
        <w:tc>
          <w:tcPr>
            <w:tcW w:w="10092" w:type="dxa"/>
            <w:noWrap w:val="0"/>
            <w:vAlign w:val="top"/>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left"/>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每个项目县遴选推介了至少2</w:t>
            </w:r>
            <w:r>
              <w:rPr>
                <w:rFonts w:hint="eastAsia" w:ascii="宋体" w:hAnsi="宋体" w:eastAsia="宋体" w:cs="宋体"/>
                <w:color w:val="000000" w:themeColor="text1"/>
                <w:sz w:val="21"/>
                <w:szCs w:val="21"/>
                <w:lang w:eastAsia="zh-CN"/>
                <w14:textFill>
                  <w14:solidFill>
                    <w14:schemeClr w14:val="tx1"/>
                  </w14:solidFill>
                </w14:textFill>
              </w:rPr>
              <w:t>项粮食类</w:t>
            </w:r>
            <w:r>
              <w:rPr>
                <w:rFonts w:hint="eastAsia" w:ascii="宋体" w:hAnsi="宋体" w:eastAsia="宋体" w:cs="宋体"/>
                <w:color w:val="000000" w:themeColor="text1"/>
                <w:sz w:val="21"/>
                <w:szCs w:val="21"/>
                <w14:textFill>
                  <w14:solidFill>
                    <w14:schemeClr w14:val="tx1"/>
                  </w14:solidFill>
                </w14:textFill>
              </w:rPr>
              <w:t>主推技术得5分；每项主推技术至少一个示范基地或一个示范主体进行推广示范得</w:t>
            </w:r>
            <w:r>
              <w:rPr>
                <w:rFonts w:hint="eastAsia" w:ascii="宋体" w:hAnsi="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分；主推技术信息填报完整得</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300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主体培育情况</w:t>
            </w:r>
          </w:p>
        </w:tc>
        <w:tc>
          <w:tcPr>
            <w:tcW w:w="854"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10092" w:type="dxa"/>
            <w:noWrap w:val="0"/>
            <w:vAlign w:val="top"/>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themeColor="text1"/>
                <w:sz w:val="21"/>
                <w:szCs w:val="21"/>
                <w14:textFill>
                  <w14:solidFill>
                    <w14:schemeClr w14:val="tx1"/>
                  </w14:solidFill>
                </w14:textFill>
              </w:rPr>
              <w:t>项目县</w:t>
            </w:r>
            <w:r>
              <w:rPr>
                <w:rFonts w:hint="eastAsia" w:ascii="宋体" w:hAnsi="宋体" w:cs="宋体"/>
                <w:color w:val="000000" w:themeColor="text1"/>
                <w:sz w:val="21"/>
                <w:szCs w:val="21"/>
                <w:lang w:val="en-US" w:eastAsia="zh-CN"/>
                <w14:textFill>
                  <w14:solidFill>
                    <w14:schemeClr w14:val="tx1"/>
                  </w14:solidFill>
                </w14:textFill>
              </w:rPr>
              <w:t>主体培育</w:t>
            </w:r>
            <w:r>
              <w:rPr>
                <w:rFonts w:hint="eastAsia" w:ascii="宋体" w:hAnsi="宋体" w:eastAsia="宋体" w:cs="宋体"/>
                <w:color w:val="000000" w:themeColor="text1"/>
                <w:sz w:val="21"/>
                <w:szCs w:val="21"/>
                <w14:textFill>
                  <w14:solidFill>
                    <w14:schemeClr w14:val="tx1"/>
                  </w14:solidFill>
                </w14:textFill>
              </w:rPr>
              <w:t>任务</w:t>
            </w:r>
            <w:r>
              <w:rPr>
                <w:rFonts w:hint="eastAsia" w:ascii="宋体" w:hAnsi="宋体" w:cs="宋体"/>
                <w:color w:val="000000" w:themeColor="text1"/>
                <w:sz w:val="21"/>
                <w:szCs w:val="21"/>
                <w:lang w:val="en-US" w:eastAsia="zh-CN"/>
                <w14:textFill>
                  <w14:solidFill>
                    <w14:schemeClr w14:val="tx1"/>
                  </w14:solidFill>
                </w14:textFill>
              </w:rPr>
              <w:t>全部</w:t>
            </w:r>
            <w:r>
              <w:rPr>
                <w:rFonts w:hint="eastAsia" w:ascii="宋体" w:hAnsi="宋体" w:eastAsia="宋体" w:cs="宋体"/>
                <w:color w:val="000000" w:themeColor="text1"/>
                <w:sz w:val="21"/>
                <w:szCs w:val="21"/>
                <w14:textFill>
                  <w14:solidFill>
                    <w14:schemeClr w14:val="tx1"/>
                  </w14:solidFill>
                </w14:textFill>
              </w:rPr>
              <w:t>完成</w:t>
            </w:r>
            <w:r>
              <w:rPr>
                <w:rFonts w:hint="eastAsia" w:ascii="宋体" w:hAnsi="宋体" w:cs="宋体"/>
                <w:color w:val="000000" w:themeColor="text1"/>
                <w:sz w:val="21"/>
                <w:szCs w:val="21"/>
                <w:lang w:val="en-US" w:eastAsia="zh-CN"/>
                <w14:textFill>
                  <w14:solidFill>
                    <w14:schemeClr w14:val="tx1"/>
                  </w14:solidFill>
                </w14:textFill>
              </w:rPr>
              <w:t>得5分，完成9</w:t>
            </w:r>
            <w:r>
              <w:rPr>
                <w:rFonts w:hint="eastAsia" w:ascii="宋体" w:hAnsi="宋体" w:eastAsia="宋体" w:cs="宋体"/>
                <w:color w:val="000000" w:themeColor="text1"/>
                <w:sz w:val="21"/>
                <w:szCs w:val="21"/>
                <w14:textFill>
                  <w14:solidFill>
                    <w14:schemeClr w14:val="tx1"/>
                  </w14:solidFill>
                </w14:textFill>
              </w:rPr>
              <w:t>0%以上得</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分，完成</w:t>
            </w:r>
            <w:r>
              <w:rPr>
                <w:rFonts w:hint="eastAsia" w:ascii="宋体" w:hAnsi="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0%以上得</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分</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完成</w:t>
            </w:r>
            <w:r>
              <w:rPr>
                <w:rFonts w:hint="eastAsia" w:ascii="宋体" w:hAnsi="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0%以上得</w:t>
            </w:r>
            <w:r>
              <w:rPr>
                <w:rFonts w:hint="eastAsia" w:ascii="宋体" w:hAnsi="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分</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0%以下不得分</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信息完整度3分。示范主体关联至少一项主推技术得</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300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中国农技推广APP使用率</w:t>
            </w:r>
          </w:p>
        </w:tc>
        <w:tc>
          <w:tcPr>
            <w:tcW w:w="854"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10092" w:type="dxa"/>
            <w:noWrap w:val="0"/>
            <w:vAlign w:val="top"/>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lang w:eastAsia="zh-CN"/>
              </w:rPr>
              <w:t>县区农技员</w:t>
            </w:r>
            <w:r>
              <w:rPr>
                <w:rFonts w:hint="eastAsia" w:ascii="宋体" w:hAnsi="宋体" w:eastAsia="宋体" w:cs="宋体"/>
                <w:color w:val="000000"/>
                <w:sz w:val="21"/>
                <w:szCs w:val="21"/>
              </w:rPr>
              <w:t>使用率达90%以上得3分。人均上报50篇得3分，至少30篇得2分，至少20篇得1分。解答问题2分。提问、解答累计人均超过100条得2分，超过80条得1分。专家、特聘农技员、示范主体全部使用APP的得2分。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300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项目资金支付进度</w:t>
            </w:r>
          </w:p>
        </w:tc>
        <w:tc>
          <w:tcPr>
            <w:tcW w:w="854"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w:t>
            </w:r>
          </w:p>
        </w:tc>
        <w:tc>
          <w:tcPr>
            <w:tcW w:w="10092" w:type="dxa"/>
            <w:noWrap w:val="0"/>
            <w:vAlign w:val="top"/>
          </w:tcPr>
          <w:p>
            <w:pPr>
              <w:keepNext w:val="0"/>
              <w:keepLines w:val="0"/>
              <w:pageBreakBefore w:val="0"/>
              <w:widowControl w:val="0"/>
              <w:kinsoku/>
              <w:wordWrap/>
              <w:overflowPunct/>
              <w:topLinePunct w:val="0"/>
              <w:autoSpaceDE/>
              <w:autoSpaceDN/>
              <w:bidi w:val="0"/>
              <w:adjustRightInd w:val="0"/>
              <w:snapToGrid w:val="0"/>
              <w:spacing w:before="40" w:after="40" w:line="608" w:lineRule="exact"/>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12月底前资金支出率达到90%以上得10分，低于的不得分。</w:t>
            </w:r>
          </w:p>
        </w:tc>
      </w:tr>
    </w:tbl>
    <w:p>
      <w:pPr>
        <w:keepNext w:val="0"/>
        <w:keepLines w:val="0"/>
        <w:pageBreakBefore w:val="0"/>
        <w:widowControl w:val="0"/>
        <w:kinsoku/>
        <w:wordWrap/>
        <w:overflowPunct/>
        <w:topLinePunct w:val="0"/>
        <w:autoSpaceDE/>
        <w:autoSpaceDN/>
        <w:bidi w:val="0"/>
        <w:adjustRightInd/>
        <w:snapToGrid/>
        <w:spacing w:line="608" w:lineRule="exact"/>
        <w:jc w:val="left"/>
        <w:textAlignment w:val="auto"/>
        <w:rPr>
          <w:rFonts w:hint="eastAsia" w:ascii="CESI仿宋-GB2312" w:hAnsi="CESI仿宋-GB2312" w:eastAsia="CESI仿宋-GB2312" w:cs="CESI仿宋-GB2312"/>
          <w:b/>
          <w:bCs/>
          <w:sz w:val="21"/>
          <w:szCs w:val="21"/>
          <w:lang w:val="en-US" w:eastAsia="zh-CN"/>
        </w:rPr>
        <w:sectPr>
          <w:pgSz w:w="16838" w:h="11906" w:orient="landscape"/>
          <w:pgMar w:top="1800" w:right="1440" w:bottom="1800" w:left="1440" w:header="851" w:footer="992" w:gutter="0"/>
          <w:pgBorders w:offsetFrom="page">
            <w:top w:val="none" w:sz="0" w:space="0"/>
            <w:left w:val="none" w:sz="0" w:space="0"/>
            <w:bottom w:val="none" w:sz="0" w:space="0"/>
            <w:right w:val="none" w:sz="0" w:space="0"/>
          </w:pgBorders>
          <w:cols w:space="720" w:num="1"/>
          <w:docGrid w:type="lines" w:linePitch="312" w:charSpace="0"/>
        </w:sectPr>
      </w:pPr>
    </w:p>
    <w:p>
      <w:pPr>
        <w:keepNext w:val="0"/>
        <w:keepLines w:val="0"/>
        <w:pageBreakBefore w:val="0"/>
        <w:kinsoku/>
        <w:wordWrap/>
        <w:topLinePunct w:val="0"/>
        <w:autoSpaceDE/>
        <w:autoSpaceDN/>
        <w:bidi w:val="0"/>
        <w:spacing w:line="608" w:lineRule="exact"/>
        <w:ind w:left="1280" w:hanging="1280" w:hangingChars="4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608"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8"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fldChar w:fldCharType="begin"/>
      </w:r>
      <w:r>
        <w:rPr>
          <w:rFonts w:hint="eastAsia" w:ascii="方正小标宋简体" w:hAnsi="方正小标宋简体" w:eastAsia="方正小标宋简体" w:cs="方正小标宋简体"/>
          <w:b w:val="0"/>
          <w:bCs w:val="0"/>
          <w:sz w:val="44"/>
          <w:szCs w:val="44"/>
          <w:lang w:val="en-US" w:eastAsia="zh-CN"/>
        </w:rPr>
        <w:instrText xml:space="preserve"> HYPERLINK "https://oss.henan.gov.cn/typtfile/20210702/d5e6e330531b4e7c838b04a996862e4e.docx" </w:instrText>
      </w:r>
      <w:r>
        <w:rPr>
          <w:rFonts w:hint="eastAsia" w:ascii="方正小标宋简体" w:hAnsi="方正小标宋简体" w:eastAsia="方正小标宋简体" w:cs="方正小标宋简体"/>
          <w:b w:val="0"/>
          <w:bCs w:val="0"/>
          <w:sz w:val="44"/>
          <w:szCs w:val="44"/>
          <w:lang w:val="en-US" w:eastAsia="zh-CN"/>
        </w:rPr>
        <w:fldChar w:fldCharType="separate"/>
      </w:r>
      <w:r>
        <w:rPr>
          <w:rFonts w:hint="eastAsia" w:ascii="方正小标宋简体" w:hAnsi="方正小标宋简体" w:eastAsia="方正小标宋简体" w:cs="方正小标宋简体"/>
          <w:b w:val="0"/>
          <w:bCs w:val="0"/>
          <w:sz w:val="44"/>
          <w:szCs w:val="44"/>
          <w:lang w:val="en-US" w:eastAsia="zh-CN"/>
        </w:rPr>
        <w:t>2023年基层农技推广体系改革与建设项目</w:t>
      </w:r>
    </w:p>
    <w:p>
      <w:pPr>
        <w:keepNext w:val="0"/>
        <w:keepLines w:val="0"/>
        <w:pageBreakBefore w:val="0"/>
        <w:widowControl w:val="0"/>
        <w:kinsoku/>
        <w:wordWrap/>
        <w:overflowPunct/>
        <w:topLinePunct w:val="0"/>
        <w:autoSpaceDE/>
        <w:autoSpaceDN/>
        <w:bidi w:val="0"/>
        <w:adjustRightInd/>
        <w:snapToGrid/>
        <w:spacing w:line="608"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农业科技示范展示基地标牌样式</w:t>
      </w:r>
      <w:r>
        <w:rPr>
          <w:rFonts w:hint="eastAsia" w:ascii="方正小标宋简体" w:hAnsi="方正小标宋简体" w:eastAsia="方正小标宋简体" w:cs="方正小标宋简体"/>
          <w:b w:val="0"/>
          <w:bCs w:val="0"/>
          <w:sz w:val="44"/>
          <w:szCs w:val="44"/>
          <w:lang w:val="en-US" w:eastAsia="zh-CN"/>
        </w:rPr>
        <w:fldChar w:fldCharType="end"/>
      </w:r>
      <w:r>
        <w:rPr>
          <w:rFonts w:hint="eastAsia" w:ascii="方正小标宋简体" w:hAnsi="方正小标宋简体" w:eastAsia="方正小标宋简体" w:cs="方正小标宋简体"/>
          <w:b w:val="0"/>
          <w:bCs w:val="0"/>
          <w:sz w:val="44"/>
          <w:szCs w:val="44"/>
          <w:lang w:val="en-US" w:eastAsia="zh-CN"/>
        </w:rPr>
        <w:t>及要求</w:t>
      </w:r>
    </w:p>
    <w:p>
      <w:pPr>
        <w:keepNext w:val="0"/>
        <w:keepLines w:val="0"/>
        <w:pageBreakBefore w:val="0"/>
        <w:kinsoku/>
        <w:wordWrap/>
        <w:topLinePunct w:val="0"/>
        <w:autoSpaceDE/>
        <w:autoSpaceDN/>
        <w:bidi w:val="0"/>
        <w:spacing w:line="608" w:lineRule="exact"/>
      </w:pPr>
    </w:p>
    <w:p>
      <w:pPr>
        <w:keepNext w:val="0"/>
        <w:keepLines w:val="0"/>
        <w:pageBreakBefore w:val="0"/>
        <w:kinsoku/>
        <w:wordWrap/>
        <w:topLinePunct w:val="0"/>
        <w:autoSpaceDE/>
        <w:autoSpaceDN/>
        <w:bidi w:val="0"/>
        <w:spacing w:line="608" w:lineRule="exact"/>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val="en-US" w:eastAsia="zh-CN"/>
        </w:rPr>
        <w:drawing>
          <wp:inline distT="0" distB="0" distL="114300" distR="114300">
            <wp:extent cx="5185410" cy="3456305"/>
            <wp:effectExtent l="0" t="0" r="15240" b="10795"/>
            <wp:docPr id="4" name="图片 1" descr="17af7d1f004196e6ca612f6f32223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17af7d1f004196e6ca612f6f32223cf"/>
                    <pic:cNvPicPr>
                      <a:picLocks noChangeAspect="1"/>
                    </pic:cNvPicPr>
                  </pic:nvPicPr>
                  <pic:blipFill>
                    <a:blip r:embed="rId7"/>
                    <a:stretch>
                      <a:fillRect/>
                    </a:stretch>
                  </pic:blipFill>
                  <pic:spPr>
                    <a:xfrm>
                      <a:off x="0" y="0"/>
                      <a:ext cx="5185410" cy="345630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val="0"/>
          <w:bCs w:val="0"/>
          <w:sz w:val="28"/>
          <w:szCs w:val="28"/>
        </w:rPr>
        <w:t>1.</w:t>
      </w:r>
      <w:r>
        <w:rPr>
          <w:rFonts w:hint="eastAsia" w:ascii="方正仿宋_GBK" w:hAnsi="方正仿宋_GBK" w:eastAsia="方正仿宋_GBK" w:cs="方正仿宋_GBK"/>
          <w:b w:val="0"/>
          <w:bCs w:val="0"/>
          <w:sz w:val="28"/>
          <w:szCs w:val="28"/>
          <w:lang w:val="en-US" w:eastAsia="zh-CN"/>
        </w:rPr>
        <w:t>尺寸</w:t>
      </w:r>
      <w:r>
        <w:rPr>
          <w:rFonts w:hint="eastAsia" w:ascii="方正仿宋_GBK" w:hAnsi="方正仿宋_GBK" w:eastAsia="方正仿宋_GBK" w:cs="方正仿宋_GBK"/>
          <w:b/>
          <w:bCs/>
          <w:sz w:val="28"/>
          <w:szCs w:val="28"/>
          <w:lang w:val="en-US" w:eastAsia="zh-CN"/>
        </w:rPr>
        <w:t>：</w:t>
      </w:r>
      <w:r>
        <w:rPr>
          <w:rFonts w:hint="eastAsia" w:ascii="方正仿宋_GBK" w:hAnsi="方正仿宋_GBK" w:eastAsia="方正仿宋_GBK" w:cs="方正仿宋_GBK"/>
          <w:sz w:val="28"/>
          <w:szCs w:val="28"/>
        </w:rPr>
        <w:t>图片宽3米，高2米</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lang w:val="en-US" w:eastAsia="zh-CN"/>
        </w:rPr>
        <w:t>2023年</w:t>
      </w:r>
      <w:r>
        <w:rPr>
          <w:rFonts w:hint="eastAsia" w:ascii="方正仿宋_GBK" w:hAnsi="方正仿宋_GBK" w:eastAsia="方正仿宋_GBK" w:cs="方正仿宋_GBK"/>
          <w:sz w:val="28"/>
          <w:szCs w:val="28"/>
        </w:rPr>
        <w:t>基层农技推广体系改革与建设项目</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颜色：#ffeb07，</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字体：迷你简大黑，</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字号：306</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3.农 业 科 技 示 范 </w:t>
      </w:r>
      <w:r>
        <w:rPr>
          <w:rFonts w:hint="eastAsia" w:ascii="方正仿宋_GBK" w:hAnsi="方正仿宋_GBK" w:eastAsia="方正仿宋_GBK" w:cs="方正仿宋_GBK"/>
          <w:sz w:val="28"/>
          <w:szCs w:val="28"/>
          <w:lang w:val="en-US" w:eastAsia="zh-CN"/>
        </w:rPr>
        <w:t xml:space="preserve">展 示 </w:t>
      </w:r>
      <w:r>
        <w:rPr>
          <w:rFonts w:hint="eastAsia" w:ascii="方正仿宋_GBK" w:hAnsi="方正仿宋_GBK" w:eastAsia="方正仿宋_GBK" w:cs="方正仿宋_GBK"/>
          <w:sz w:val="28"/>
          <w:szCs w:val="28"/>
        </w:rPr>
        <w:t>基 地</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颜色：#024d89，</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字体：方正大黑简体，</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字号：425，</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白色描边24像素</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4.基地位置：</w:t>
      </w:r>
      <w:r>
        <w:rPr>
          <w:rFonts w:hint="eastAsia" w:ascii="方正仿宋_GBK" w:hAnsi="方正仿宋_GBK" w:eastAsia="方正仿宋_GBK" w:cs="方正仿宋_GBK"/>
          <w:sz w:val="28"/>
          <w:szCs w:val="28"/>
          <w:lang w:val="en-US" w:eastAsia="zh-CN"/>
        </w:rPr>
        <w:t>XXX</w:t>
      </w:r>
      <w:r>
        <w:rPr>
          <w:rFonts w:hint="eastAsia" w:ascii="方正仿宋_GBK" w:hAnsi="方正仿宋_GBK" w:eastAsia="方正仿宋_GBK" w:cs="方正仿宋_GBK"/>
          <w:sz w:val="28"/>
          <w:szCs w:val="28"/>
        </w:rPr>
        <w:t>省</w:t>
      </w:r>
      <w:r>
        <w:rPr>
          <w:rFonts w:hint="eastAsia" w:ascii="方正仿宋_GBK" w:hAnsi="方正仿宋_GBK" w:eastAsia="方正仿宋_GBK" w:cs="方正仿宋_GBK"/>
          <w:sz w:val="28"/>
          <w:szCs w:val="28"/>
          <w:lang w:val="en-US" w:eastAsia="zh-CN"/>
        </w:rPr>
        <w:t>XX</w:t>
      </w:r>
      <w:r>
        <w:rPr>
          <w:rFonts w:hint="eastAsia" w:ascii="方正仿宋_GBK" w:hAnsi="方正仿宋_GBK" w:eastAsia="方正仿宋_GBK" w:cs="方正仿宋_GBK"/>
          <w:sz w:val="28"/>
          <w:szCs w:val="28"/>
        </w:rPr>
        <w:t>县</w:t>
      </w:r>
      <w:r>
        <w:rPr>
          <w:rFonts w:hint="eastAsia" w:ascii="方正仿宋_GBK" w:hAnsi="方正仿宋_GBK" w:eastAsia="方正仿宋_GBK" w:cs="方正仿宋_GBK"/>
          <w:sz w:val="28"/>
          <w:szCs w:val="28"/>
          <w:lang w:val="en-US" w:eastAsia="zh-CN"/>
        </w:rPr>
        <w:t>XX</w:t>
      </w:r>
      <w:r>
        <w:rPr>
          <w:rFonts w:hint="eastAsia" w:ascii="方正仿宋_GBK" w:hAnsi="方正仿宋_GBK" w:eastAsia="方正仿宋_GBK" w:cs="方正仿宋_GBK"/>
          <w:sz w:val="28"/>
          <w:szCs w:val="28"/>
        </w:rPr>
        <w:t>镇        基地类型：租用</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示范内容</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例</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：陕红65番茄    西农38号黄瓜</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水肥一体化技术  病虫害绿色防控技术</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示范规模</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例</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 xml:space="preserve">：30亩                </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实施单位：</w:t>
      </w:r>
      <w:r>
        <w:rPr>
          <w:rFonts w:hint="eastAsia" w:ascii="方正仿宋_GBK" w:hAnsi="方正仿宋_GBK" w:eastAsia="方正仿宋_GBK" w:cs="方正仿宋_GBK"/>
          <w:sz w:val="28"/>
          <w:szCs w:val="28"/>
          <w:lang w:val="en-US" w:eastAsia="zh-CN"/>
        </w:rPr>
        <w:t>XX</w:t>
      </w:r>
      <w:r>
        <w:rPr>
          <w:rFonts w:hint="eastAsia" w:ascii="方正仿宋_GBK" w:hAnsi="方正仿宋_GBK" w:eastAsia="方正仿宋_GBK" w:cs="方正仿宋_GBK"/>
          <w:sz w:val="28"/>
          <w:szCs w:val="28"/>
        </w:rPr>
        <w:t>县农技推广中心        技术负责人：张三</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指导专家：李四</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联系电话：0913-0000000    13800000000</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颜色：#000000，</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字体：方正大黑简体，</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字号：210，</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行距：362，</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字距：0，</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白色描边9像素</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5.农业农村部科技教育司  财政部农业</w:t>
      </w:r>
      <w:r>
        <w:rPr>
          <w:rFonts w:hint="eastAsia" w:ascii="方正仿宋_GBK" w:hAnsi="方正仿宋_GBK" w:eastAsia="方正仿宋_GBK" w:cs="方正仿宋_GBK"/>
          <w:sz w:val="28"/>
          <w:szCs w:val="28"/>
          <w:lang w:val="en-US" w:eastAsia="zh-CN"/>
        </w:rPr>
        <w:t>农村</w:t>
      </w:r>
      <w:r>
        <w:rPr>
          <w:rFonts w:hint="eastAsia" w:ascii="方正仿宋_GBK" w:hAnsi="方正仿宋_GBK" w:eastAsia="方正仿宋_GBK" w:cs="方正仿宋_GBK"/>
          <w:sz w:val="28"/>
          <w:szCs w:val="28"/>
        </w:rPr>
        <w:t>司</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XXX</w:t>
      </w:r>
      <w:r>
        <w:rPr>
          <w:rFonts w:hint="eastAsia" w:ascii="方正仿宋_GBK" w:hAnsi="方正仿宋_GBK" w:eastAsia="方正仿宋_GBK" w:cs="方正仿宋_GBK"/>
          <w:sz w:val="28"/>
          <w:szCs w:val="28"/>
        </w:rPr>
        <w:t>省农业</w:t>
      </w:r>
      <w:r>
        <w:rPr>
          <w:rFonts w:hint="eastAsia" w:ascii="方正仿宋_GBK" w:hAnsi="方正仿宋_GBK" w:eastAsia="方正仿宋_GBK" w:cs="方正仿宋_GBK"/>
          <w:sz w:val="28"/>
          <w:szCs w:val="28"/>
          <w:lang w:val="en-US" w:eastAsia="zh-CN"/>
        </w:rPr>
        <w:t>农村</w:t>
      </w:r>
      <w:r>
        <w:rPr>
          <w:rFonts w:hint="eastAsia" w:ascii="方正仿宋_GBK" w:hAnsi="方正仿宋_GBK" w:eastAsia="方正仿宋_GBK" w:cs="方正仿宋_GBK"/>
          <w:sz w:val="28"/>
          <w:szCs w:val="28"/>
        </w:rPr>
        <w:t>厅  财政厅</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20</w:t>
      </w:r>
      <w:r>
        <w:rPr>
          <w:rFonts w:hint="eastAsia" w:ascii="方正仿宋_GBK" w:hAnsi="方正仿宋_GBK" w:eastAsia="方正仿宋_GBK" w:cs="方正仿宋_GBK"/>
          <w:sz w:val="28"/>
          <w:szCs w:val="28"/>
          <w:lang w:val="en-US" w:eastAsia="zh-CN"/>
        </w:rPr>
        <w:t>23</w:t>
      </w:r>
      <w:r>
        <w:rPr>
          <w:rFonts w:hint="eastAsia" w:ascii="方正仿宋_GBK" w:hAnsi="方正仿宋_GBK" w:eastAsia="方正仿宋_GBK" w:cs="方正仿宋_GBK"/>
          <w:sz w:val="28"/>
          <w:szCs w:val="28"/>
        </w:rPr>
        <w:t>年5月</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颜色：#000000，</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字体：方正大黑简体，</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字号：174，</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行距：207，</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字距：80，</w:t>
      </w:r>
    </w:p>
    <w:p>
      <w:pPr>
        <w:keepNext w:val="0"/>
        <w:keepLines w:val="0"/>
        <w:pageBreakBefore w:val="0"/>
        <w:widowControl w:val="0"/>
        <w:kinsoku/>
        <w:wordWrap/>
        <w:overflowPunct/>
        <w:topLinePunct w:val="0"/>
        <w:autoSpaceDE/>
        <w:autoSpaceDN/>
        <w:bidi w:val="0"/>
        <w:adjustRightInd/>
        <w:snapToGrid/>
        <w:spacing w:line="608" w:lineRule="exact"/>
        <w:ind w:left="0" w:hanging="1120" w:hanging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白色描边9像素</w:t>
      </w:r>
    </w:p>
    <w:p>
      <w:pPr>
        <w:keepNext w:val="0"/>
        <w:keepLines w:val="0"/>
        <w:pageBreakBefore w:val="0"/>
        <w:kinsoku/>
        <w:wordWrap/>
        <w:topLinePunct w:val="0"/>
        <w:autoSpaceDE/>
        <w:autoSpaceDN/>
        <w:bidi w:val="0"/>
        <w:spacing w:line="608" w:lineRule="exact"/>
        <w:rPr>
          <w:rFonts w:hint="eastAsia" w:ascii="CESI仿宋-GB2312" w:hAnsi="CESI仿宋-GB2312" w:eastAsia="CESI仿宋-GB2312" w:cs="CESI仿宋-GB2312"/>
          <w:sz w:val="32"/>
          <w:szCs w:val="32"/>
        </w:rPr>
      </w:pPr>
    </w:p>
    <w:p>
      <w:pPr>
        <w:pStyle w:val="3"/>
        <w:keepNext w:val="0"/>
        <w:keepLines w:val="0"/>
        <w:pageBreakBefore w:val="0"/>
        <w:kinsoku/>
        <w:wordWrap/>
        <w:overflowPunct w:val="0"/>
        <w:topLinePunct w:val="0"/>
        <w:autoSpaceDE/>
        <w:autoSpaceDN/>
        <w:bidi w:val="0"/>
        <w:spacing w:after="0" w:line="608" w:lineRule="exact"/>
        <w:ind w:left="0" w:leftChars="0" w:right="0" w:rightChars="0"/>
        <w:rPr>
          <w:rFonts w:hint="eastAsia" w:ascii="Times New Roman" w:hAnsi="Times New Roman" w:cs="Times New Roman"/>
          <w:snapToGrid w:val="0"/>
          <w:kern w:val="0"/>
        </w:rPr>
      </w:pPr>
    </w:p>
    <w:p>
      <w:pPr>
        <w:pStyle w:val="3"/>
        <w:keepNext w:val="0"/>
        <w:keepLines w:val="0"/>
        <w:pageBreakBefore w:val="0"/>
        <w:kinsoku/>
        <w:wordWrap/>
        <w:overflowPunct w:val="0"/>
        <w:topLinePunct w:val="0"/>
        <w:autoSpaceDE/>
        <w:autoSpaceDN/>
        <w:bidi w:val="0"/>
        <w:spacing w:after="0" w:line="608" w:lineRule="exact"/>
        <w:ind w:left="0" w:leftChars="0" w:right="0" w:rightChars="0"/>
        <w:rPr>
          <w:rFonts w:hint="eastAsia" w:ascii="Times New Roman" w:hAnsi="Times New Roman" w:cs="Times New Roman"/>
          <w:snapToGrid w:val="0"/>
          <w:kern w:val="0"/>
        </w:rPr>
      </w:pPr>
    </w:p>
    <w:tbl>
      <w:tblPr>
        <w:tblStyle w:val="7"/>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845"/>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8845" w:type="dxa"/>
            <w:shd w:val="clear" w:color="auto" w:fill="auto"/>
          </w:tcPr>
          <w:p>
            <w:pPr>
              <w:pStyle w:val="3"/>
              <w:keepNext w:val="0"/>
              <w:keepLines w:val="0"/>
              <w:pageBreakBefore w:val="0"/>
              <w:kinsoku/>
              <w:wordWrap/>
              <w:overflowPunct w:val="0"/>
              <w:topLinePunct w:val="0"/>
              <w:autoSpaceDE/>
              <w:autoSpaceDN/>
              <w:bidi w:val="0"/>
              <w:spacing w:after="0" w:line="608" w:lineRule="exact"/>
              <w:ind w:left="210" w:leftChars="100" w:right="210" w:rightChars="100"/>
              <w:jc w:val="center"/>
              <w:rPr>
                <w:rFonts w:hint="eastAsia" w:ascii="Times New Roman" w:hAnsi="Times New Roman" w:eastAsia="仿宋_GB2312" w:cs="Times New Roman"/>
                <w:snapToGrid w:val="0"/>
                <w:kern w:val="0"/>
                <w:sz w:val="28"/>
                <w:szCs w:val="28"/>
              </w:rPr>
            </w:pPr>
            <w:r>
              <w:rPr>
                <w:rFonts w:hint="eastAsia" w:ascii="CESI仿宋-GB2312" w:hAnsi="CESI仿宋-GB2312" w:eastAsia="CESI仿宋-GB2312" w:cs="CESI仿宋-GB2312"/>
                <w:snapToGrid w:val="0"/>
                <w:kern w:val="0"/>
                <w:sz w:val="28"/>
                <w:szCs w:val="28"/>
              </w:rPr>
              <w:t xml:space="preserve">洛阳市农业农村局办公室       </w:t>
            </w:r>
            <w:r>
              <w:rPr>
                <w:rFonts w:hint="eastAsia" w:ascii="CESI仿宋-GB2312" w:hAnsi="CESI仿宋-GB2312" w:eastAsia="CESI仿宋-GB2312" w:cs="CESI仿宋-GB2312"/>
                <w:snapToGrid w:val="0"/>
                <w:kern w:val="0"/>
                <w:sz w:val="28"/>
                <w:szCs w:val="28"/>
                <w:lang w:val="en-US" w:eastAsia="zh-CN"/>
              </w:rPr>
              <w:t xml:space="preserve">   </w:t>
            </w:r>
            <w:r>
              <w:rPr>
                <w:rFonts w:hint="eastAsia" w:ascii="CESI仿宋-GB2312" w:hAnsi="CESI仿宋-GB2312" w:eastAsia="CESI仿宋-GB2312" w:cs="CESI仿宋-GB2312"/>
                <w:snapToGrid w:val="0"/>
                <w:kern w:val="0"/>
                <w:sz w:val="28"/>
                <w:szCs w:val="28"/>
              </w:rPr>
              <w:t xml:space="preserve">     </w:t>
            </w:r>
            <w:r>
              <w:rPr>
                <w:rFonts w:hint="eastAsia" w:ascii="CESI仿宋-GB2312" w:hAnsi="CESI仿宋-GB2312" w:eastAsia="CESI仿宋-GB2312" w:cs="CESI仿宋-GB2312"/>
                <w:snapToGrid w:val="0"/>
                <w:kern w:val="0"/>
                <w:sz w:val="28"/>
                <w:szCs w:val="28"/>
                <w:lang w:val="en-US" w:eastAsia="zh-CN"/>
              </w:rPr>
              <w:t xml:space="preserve">  </w:t>
            </w:r>
            <w:r>
              <w:rPr>
                <w:rFonts w:hint="eastAsia" w:ascii="CESI仿宋-GB2312" w:hAnsi="CESI仿宋-GB2312" w:eastAsia="CESI仿宋-GB2312" w:cs="CESI仿宋-GB2312"/>
                <w:snapToGrid w:val="0"/>
                <w:kern w:val="0"/>
                <w:sz w:val="28"/>
                <w:szCs w:val="28"/>
              </w:rPr>
              <w:t xml:space="preserve">  202</w:t>
            </w:r>
            <w:r>
              <w:rPr>
                <w:rFonts w:hint="eastAsia" w:ascii="CESI仿宋-GB2312" w:hAnsi="CESI仿宋-GB2312" w:eastAsia="CESI仿宋-GB2312" w:cs="CESI仿宋-GB2312"/>
                <w:snapToGrid w:val="0"/>
                <w:kern w:val="0"/>
                <w:sz w:val="28"/>
                <w:szCs w:val="28"/>
                <w:lang w:val="en-US" w:eastAsia="zh-CN"/>
              </w:rPr>
              <w:t>3</w:t>
            </w:r>
            <w:r>
              <w:rPr>
                <w:rFonts w:hint="eastAsia" w:ascii="CESI仿宋-GB2312" w:hAnsi="CESI仿宋-GB2312" w:eastAsia="CESI仿宋-GB2312" w:cs="CESI仿宋-GB2312"/>
                <w:snapToGrid w:val="0"/>
                <w:kern w:val="0"/>
                <w:sz w:val="28"/>
                <w:szCs w:val="28"/>
              </w:rPr>
              <w:t>年7月</w:t>
            </w:r>
            <w:r>
              <w:rPr>
                <w:rFonts w:hint="eastAsia" w:ascii="CESI仿宋-GB2312" w:hAnsi="CESI仿宋-GB2312" w:eastAsia="CESI仿宋-GB2312" w:cs="CESI仿宋-GB2312"/>
                <w:snapToGrid w:val="0"/>
                <w:kern w:val="0"/>
                <w:sz w:val="28"/>
                <w:szCs w:val="28"/>
                <w:lang w:val="en-US" w:eastAsia="zh-CN"/>
              </w:rPr>
              <w:t>25</w:t>
            </w:r>
            <w:r>
              <w:rPr>
                <w:rFonts w:hint="eastAsia" w:ascii="CESI仿宋-GB2312" w:hAnsi="CESI仿宋-GB2312" w:eastAsia="CESI仿宋-GB2312" w:cs="CESI仿宋-GB2312"/>
                <w:snapToGrid w:val="0"/>
                <w:kern w:val="0"/>
                <w:sz w:val="28"/>
                <w:szCs w:val="28"/>
              </w:rPr>
              <w:t>日印发</w:t>
            </w:r>
          </w:p>
        </w:tc>
      </w:tr>
    </w:tbl>
    <w:p>
      <w:pPr>
        <w:keepNext w:val="0"/>
        <w:keepLines w:val="0"/>
        <w:pageBreakBefore w:val="0"/>
        <w:kinsoku/>
        <w:wordWrap/>
        <w:topLinePunct w:val="0"/>
        <w:autoSpaceDE/>
        <w:autoSpaceDN/>
        <w:bidi w:val="0"/>
        <w:spacing w:line="608" w:lineRule="exact"/>
      </w:pPr>
    </w:p>
    <w:sectPr>
      <w:footerReference r:id="rId5" w:type="default"/>
      <w:pgSz w:w="11906" w:h="16838"/>
      <w:pgMar w:top="1928" w:right="1474" w:bottom="1417" w:left="1587" w:header="850" w:footer="153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仿宋简体">
    <w:altName w:val="微软雅黑"/>
    <w:panose1 w:val="02010601030101010101"/>
    <w:charset w:val="86"/>
    <w:family w:val="auto"/>
    <w:pitch w:val="default"/>
    <w:sig w:usb0="00000000" w:usb1="00000000" w:usb2="0000001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Style w:val="9"/>
        <w:rFonts w:ascii="宋体" w:hAnsi="宋体" w:eastAsia="宋体"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w:t>
                          </w:r>
                          <w: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15</w:t>
                          </w:r>
                          <w:r>
                            <w:rPr>
                              <w:sz w:val="21"/>
                              <w:szCs w:val="21"/>
                            </w:rPr>
                            <w:fldChar w:fldCharType="end"/>
                          </w:r>
                          <w: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w:t>
                    </w:r>
                    <w: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15</w:t>
                    </w:r>
                    <w:r>
                      <w:rPr>
                        <w:sz w:val="21"/>
                        <w:szCs w:val="21"/>
                      </w:rPr>
                      <w:fldChar w:fldCharType="end"/>
                    </w:r>
                    <w:r>
                      <w:t xml:space="preserve"> </w:t>
                    </w:r>
                    <w:r>
                      <w:rPr>
                        <w:rFonts w:hint="eastAsia"/>
                        <w:lang w:eastAsia="zh-CN"/>
                      </w:rPr>
                      <w:t>—</w:t>
                    </w:r>
                  </w:p>
                </w:txbxContent>
              </v:textbox>
            </v:shape>
          </w:pict>
        </mc:Fallback>
      </mc:AlternateContent>
    </w:r>
    <w:r>
      <w:rPr>
        <w:rStyle w:val="9"/>
        <w:rFonts w:hint="eastAsia" w:ascii="宋体" w:hAnsi="宋体" w:eastAsia="宋体" w:cs="Times New Roman"/>
        <w:sz w:val="28"/>
        <w:szCs w:val="28"/>
      </w:rPr>
      <w:t xml:space="preserve">  </w:t>
    </w:r>
  </w:p>
  <w:p>
    <w:pPr>
      <w:pStyle w:val="4"/>
      <w:rPr>
        <w:rFonts w:ascii="宋体" w:hAnsi="宋体"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10</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17</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17</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zYzU4NGExZmVhNTNlYjdkMTc2Y2I4MzExZDYzNWEifQ=="/>
  </w:docVars>
  <w:rsids>
    <w:rsidRoot w:val="00000000"/>
    <w:rsid w:val="013C0046"/>
    <w:rsid w:val="01DF5C17"/>
    <w:rsid w:val="03E2554B"/>
    <w:rsid w:val="05EF3F4F"/>
    <w:rsid w:val="07862999"/>
    <w:rsid w:val="08175703"/>
    <w:rsid w:val="08921289"/>
    <w:rsid w:val="0AC7549A"/>
    <w:rsid w:val="0C7C51F1"/>
    <w:rsid w:val="0C8E2713"/>
    <w:rsid w:val="0D224C0A"/>
    <w:rsid w:val="0FB64661"/>
    <w:rsid w:val="104F55CF"/>
    <w:rsid w:val="11D34725"/>
    <w:rsid w:val="12573F56"/>
    <w:rsid w:val="13537988"/>
    <w:rsid w:val="140F7BE3"/>
    <w:rsid w:val="152C0D1B"/>
    <w:rsid w:val="15F35395"/>
    <w:rsid w:val="164A7E47"/>
    <w:rsid w:val="18CA5D34"/>
    <w:rsid w:val="1A4E34E2"/>
    <w:rsid w:val="1B8A679C"/>
    <w:rsid w:val="1BFF7A7D"/>
    <w:rsid w:val="1C534DE0"/>
    <w:rsid w:val="20401194"/>
    <w:rsid w:val="21124BDF"/>
    <w:rsid w:val="2181419D"/>
    <w:rsid w:val="2208041A"/>
    <w:rsid w:val="22F83FEB"/>
    <w:rsid w:val="232748D0"/>
    <w:rsid w:val="2481624A"/>
    <w:rsid w:val="278B7B24"/>
    <w:rsid w:val="292D6D18"/>
    <w:rsid w:val="29DC1B6E"/>
    <w:rsid w:val="2CEA709A"/>
    <w:rsid w:val="2D7D7F0E"/>
    <w:rsid w:val="2DE85F3E"/>
    <w:rsid w:val="316664D2"/>
    <w:rsid w:val="32D8641B"/>
    <w:rsid w:val="344D1295"/>
    <w:rsid w:val="352027E5"/>
    <w:rsid w:val="367F5E2B"/>
    <w:rsid w:val="37647A49"/>
    <w:rsid w:val="376B0DD8"/>
    <w:rsid w:val="3B8C57C0"/>
    <w:rsid w:val="3CEF9E23"/>
    <w:rsid w:val="3D0F3940"/>
    <w:rsid w:val="3DEE2762"/>
    <w:rsid w:val="3E1000F5"/>
    <w:rsid w:val="3E32264F"/>
    <w:rsid w:val="3FFDDDA4"/>
    <w:rsid w:val="48BE55D6"/>
    <w:rsid w:val="4A4F27DB"/>
    <w:rsid w:val="4F425EA7"/>
    <w:rsid w:val="536746F1"/>
    <w:rsid w:val="551F35F3"/>
    <w:rsid w:val="56E524FD"/>
    <w:rsid w:val="574C185C"/>
    <w:rsid w:val="57CB225B"/>
    <w:rsid w:val="59945B14"/>
    <w:rsid w:val="5B2405D0"/>
    <w:rsid w:val="5CBC2C1A"/>
    <w:rsid w:val="5E2B8DE0"/>
    <w:rsid w:val="620D46B6"/>
    <w:rsid w:val="62A25746"/>
    <w:rsid w:val="66D02156"/>
    <w:rsid w:val="675C573D"/>
    <w:rsid w:val="67FBABDF"/>
    <w:rsid w:val="68677C8E"/>
    <w:rsid w:val="69EC72A7"/>
    <w:rsid w:val="6BAC13E3"/>
    <w:rsid w:val="6C661592"/>
    <w:rsid w:val="6D316543"/>
    <w:rsid w:val="6F5C6481"/>
    <w:rsid w:val="6F7044D6"/>
    <w:rsid w:val="6F9C7C46"/>
    <w:rsid w:val="714E37F7"/>
    <w:rsid w:val="754F6CA3"/>
    <w:rsid w:val="776641EE"/>
    <w:rsid w:val="779427CE"/>
    <w:rsid w:val="779571D0"/>
    <w:rsid w:val="77CC7FF5"/>
    <w:rsid w:val="7ACED1D2"/>
    <w:rsid w:val="7BA479E1"/>
    <w:rsid w:val="7BDC0134"/>
    <w:rsid w:val="7FFF0575"/>
    <w:rsid w:val="96E00EE1"/>
    <w:rsid w:val="BFEFB36F"/>
    <w:rsid w:val="DAB983EB"/>
    <w:rsid w:val="DD9DB0CA"/>
    <w:rsid w:val="E5FB4489"/>
    <w:rsid w:val="EBFD7DCF"/>
    <w:rsid w:val="EDBFDFC5"/>
    <w:rsid w:val="F4E7BE80"/>
    <w:rsid w:val="F68FE7F6"/>
    <w:rsid w:val="F7954B3F"/>
    <w:rsid w:val="F7F7493B"/>
    <w:rsid w:val="FDEBB2C2"/>
    <w:rsid w:val="FF2F5272"/>
    <w:rsid w:val="FF2FBAB3"/>
    <w:rsid w:val="FFAF48FB"/>
    <w:rsid w:val="FFEE8787"/>
    <w:rsid w:val="FFFD1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Calibri" w:hAnsi="Calibri" w:eastAsia="宋体" w:cs="Times New Roman"/>
      <w:szCs w:val="32"/>
    </w:rPr>
  </w:style>
  <w:style w:type="paragraph" w:styleId="3">
    <w:name w:val="Block Text"/>
    <w:basedOn w:val="1"/>
    <w:unhideWhenUsed/>
    <w:qFormat/>
    <w:uiPriority w:val="99"/>
    <w:pPr>
      <w:spacing w:after="120"/>
      <w:ind w:left="1440" w:leftChars="700" w:right="1440" w:rightChars="700"/>
    </w:p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font01"/>
    <w:basedOn w:val="8"/>
    <w:qFormat/>
    <w:uiPriority w:val="0"/>
    <w:rPr>
      <w:rFonts w:hint="eastAsia" w:ascii="宋体" w:hAnsi="宋体" w:eastAsia="宋体" w:cs="宋体"/>
      <w:color w:val="000000"/>
      <w:sz w:val="20"/>
      <w:szCs w:val="20"/>
      <w:u w:val="none"/>
    </w:rPr>
  </w:style>
  <w:style w:type="character" w:customStyle="1" w:styleId="11">
    <w:name w:val="font4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9995</Words>
  <Characters>10395</Characters>
  <Lines>0</Lines>
  <Paragraphs>0</Paragraphs>
  <TotalTime>29</TotalTime>
  <ScaleCrop>false</ScaleCrop>
  <LinksUpToDate>false</LinksUpToDate>
  <CharactersWithSpaces>10494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2023-07-01T11:04:00Z</dcterms:created>
  <dc:creator>Administrator.QW39PDKNZGU0ITG</dc:creator>
  <cp:lastModifiedBy>混世小魔王</cp:lastModifiedBy>
  <cp:lastPrinted>2024-01-12T00:18:00Z</cp:lastPrinted>
  <dcterms:modified xsi:type="dcterms:W3CDTF">2024-02-01T04:43:56Z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FAD5A57475CA478B959847A50BFB3B46_13</vt:lpwstr>
  </property>
</Properties>
</file>